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conformance="strict">
  <w:body>
    <w:p w:rsidR="009303D9" w:rsidRPr="00CD5EE5" w:rsidRDefault="004F03C0" w:rsidP="008B6524">
      <w:pPr>
        <w:pStyle w:val="papertitle"/>
        <w:spacing w:before="5pt" w:beforeAutospacing="1" w:after="5pt" w:afterAutospacing="1"/>
        <w:rPr>
          <w:kern w:val="48"/>
          <w:sz w:val="40"/>
          <w:szCs w:val="40"/>
        </w:rPr>
      </w:pPr>
      <w:r>
        <w:rPr>
          <w:lang w:val="de-DE" w:eastAsia="de-DE"/>
        </w:rPr>
        <w:drawing>
          <wp:anchor distT="0" distB="0" distL="114300" distR="114300" simplePos="0" relativeHeight="251658240" behindDoc="1" locked="0" layoutInCell="1" allowOverlap="1">
            <wp:simplePos x="0" y="0"/>
            <wp:positionH relativeFrom="column">
              <wp:posOffset>271145</wp:posOffset>
            </wp:positionH>
            <wp:positionV relativeFrom="paragraph">
              <wp:posOffset>0</wp:posOffset>
            </wp:positionV>
            <wp:extent cx="2305050" cy="1591310"/>
            <wp:effectExtent l="0" t="0" r="0" b="8890"/>
            <wp:wrapTight wrapText="bothSides">
              <wp:wrapPolygon edited="0">
                <wp:start x="0" y="0"/>
                <wp:lineTo x="0" y="21462"/>
                <wp:lineTo x="21421" y="21462"/>
                <wp:lineTo x="21421" y="0"/>
                <wp:lineTo x="0" y="0"/>
              </wp:wrapPolygon>
            </wp:wrapTight>
            <wp:docPr id="47" name="Grafik 47" descr="C:\Users\vollratj\Documents\web_kempten_2018_06_28\Microelectronics\Images\Micro_Lab05_01.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descr="C:\Users\vollratj\Documents\web_kempten_2018_06_28\Microelectronics\Images\Micro_Lab05_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050" cy="159131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270">
        <w:rPr>
          <w:kern w:val="48"/>
          <w:sz w:val="40"/>
          <w:szCs w:val="40"/>
        </w:rPr>
        <w:t>CMOS I</w:t>
      </w:r>
      <w:r>
        <w:rPr>
          <w:kern w:val="48"/>
          <w:sz w:val="40"/>
          <w:szCs w:val="40"/>
        </w:rPr>
        <w:t xml:space="preserve">nverter </w:t>
      </w:r>
      <w:r w:rsidR="000C6270">
        <w:rPr>
          <w:kern w:val="48"/>
          <w:sz w:val="40"/>
          <w:szCs w:val="40"/>
        </w:rPr>
        <w:t>D</w:t>
      </w:r>
      <w:r>
        <w:rPr>
          <w:kern w:val="48"/>
          <w:sz w:val="40"/>
          <w:szCs w:val="40"/>
        </w:rPr>
        <w:t xml:space="preserve">elay </w:t>
      </w:r>
      <w:r w:rsidR="000C6270">
        <w:rPr>
          <w:kern w:val="48"/>
          <w:sz w:val="40"/>
          <w:szCs w:val="40"/>
        </w:rPr>
        <w:t>S</w:t>
      </w:r>
      <w:r>
        <w:rPr>
          <w:kern w:val="48"/>
          <w:sz w:val="40"/>
          <w:szCs w:val="40"/>
        </w:rPr>
        <w:t>imulation</w:t>
      </w:r>
      <w:r w:rsidR="00FD522B">
        <w:rPr>
          <w:kern w:val="48"/>
          <w:sz w:val="40"/>
          <w:szCs w:val="40"/>
        </w:rPr>
        <w:t xml:space="preserve"> with parasitic elements and variation</w:t>
      </w:r>
    </w:p>
    <w:p w:rsidR="009303D9" w:rsidRDefault="006678AC" w:rsidP="00E64D33">
      <w:pPr>
        <w:pStyle w:val="Author"/>
        <w:spacing w:before="5pt" w:beforeAutospacing="1" w:after="5pt" w:afterAutospacing="1"/>
        <w:jc w:val="start"/>
        <w:rPr>
          <w:sz w:val="16"/>
          <w:szCs w:val="16"/>
        </w:rPr>
      </w:pPr>
      <w:r>
        <w:rPr>
          <w:sz w:val="16"/>
          <w:szCs w:val="16"/>
        </w:rPr>
        <w:t>31.03</w:t>
      </w:r>
      <w:r w:rsidR="00E64D33">
        <w:rPr>
          <w:sz w:val="16"/>
          <w:szCs w:val="16"/>
        </w:rPr>
        <w:t>.2023 Joerg Vollrath, UAS Kempten</w:t>
      </w:r>
    </w:p>
    <w:p w:rsidR="003E7B76" w:rsidRDefault="003E7B76" w:rsidP="00E64D33">
      <w:pPr>
        <w:pStyle w:val="Author"/>
        <w:spacing w:before="5pt" w:beforeAutospacing="1" w:after="5pt" w:afterAutospacing="1"/>
        <w:jc w:val="start"/>
        <w:rPr>
          <w:sz w:val="16"/>
          <w:szCs w:val="16"/>
        </w:rPr>
      </w:pPr>
      <w:r>
        <w:rPr>
          <w:sz w:val="16"/>
          <w:szCs w:val="16"/>
        </w:rPr>
        <w:t>Inverter delay changes 50% with temperature (-10C, 85C)</w:t>
      </w:r>
      <w:r w:rsidR="005B5E71">
        <w:rPr>
          <w:sz w:val="16"/>
          <w:szCs w:val="16"/>
        </w:rPr>
        <w:t>, supply voltage</w:t>
      </w:r>
      <w:r>
        <w:rPr>
          <w:sz w:val="16"/>
          <w:szCs w:val="16"/>
        </w:rPr>
        <w:t xml:space="preserve"> and threshold voltage variation of 10%. </w:t>
      </w:r>
    </w:p>
    <w:p w:rsidR="00D7522C" w:rsidRPr="00CA4392" w:rsidRDefault="004F03C0" w:rsidP="003E7B76">
      <w:pPr>
        <w:pStyle w:val="Author"/>
        <w:spacing w:before="5pt" w:beforeAutospacing="1" w:after="5pt" w:afterAutospacing="1"/>
        <w:jc w:val="start"/>
        <w:rPr>
          <w:sz w:val="16"/>
          <w:szCs w:val="16"/>
        </w:rPr>
        <w:sectPr w:rsidR="00D7522C" w:rsidRPr="00CA4392" w:rsidSect="003B4E04">
          <w:footerReference w:type="first" r:id="rId9"/>
          <w:pgSz w:w="595.30pt" w:h="841.90pt" w:code="9"/>
          <w:pgMar w:top="27pt" w:right="44.65pt" w:bottom="72pt" w:left="44.65pt" w:header="36pt" w:footer="36pt" w:gutter="0pt"/>
          <w:cols w:space="36pt"/>
          <w:titlePg/>
          <w:docGrid w:linePitch="360"/>
        </w:sectPr>
      </w:pPr>
      <w:r>
        <w:rPr>
          <w:sz w:val="16"/>
          <w:szCs w:val="16"/>
        </w:rPr>
        <w:t xml:space="preserve">   </w:t>
      </w:r>
    </w:p>
    <w:p w:rsidR="009F1D79" w:rsidRDefault="009F1D79">
      <w:pPr>
        <w:sectPr w:rsidR="009F1D79" w:rsidSect="003B4E04">
          <w:type w:val="continuous"/>
          <w:pgSz w:w="595.30pt" w:h="841.90pt" w:code="9"/>
          <w:pgMar w:top="22.50pt" w:right="44.65pt" w:bottom="72pt" w:left="44.65pt" w:header="36pt" w:footer="36pt" w:gutter="0pt"/>
          <w:cols w:num="3" w:space="36pt"/>
          <w:docGrid w:linePitch="360"/>
        </w:sectPr>
      </w:pPr>
    </w:p>
    <w:p w:rsidR="009303D9" w:rsidRPr="005B520E" w:rsidRDefault="00BD670B">
      <w:pPr>
        <w:sectPr w:rsidR="009303D9" w:rsidRPr="005B520E" w:rsidSect="003B4E04">
          <w:type w:val="continuous"/>
          <w:pgSz w:w="595.30pt" w:h="841.90pt" w:code="9"/>
          <w:pgMar w:top="22.50pt" w:right="44.65pt" w:bottom="72pt" w:left="44.65pt" w:header="36pt" w:footer="36pt" w:gutter="0pt"/>
          <w:cols w:num="3" w:space="36pt"/>
          <w:docGrid w:linePitch="360"/>
        </w:sectPr>
      </w:pPr>
      <w:r>
        <w:br w:type="column"/>
      </w:r>
    </w:p>
    <w:p w:rsidR="005D7662" w:rsidRDefault="005D7662" w:rsidP="005D7662">
      <w:pPr>
        <w:pStyle w:val="Keywords"/>
      </w:pPr>
      <w:r>
        <w:t xml:space="preserve">Abstract: For </w:t>
      </w:r>
      <w:proofErr w:type="gramStart"/>
      <w:r>
        <w:t>integrated circuits</w:t>
      </w:r>
      <w:proofErr w:type="gramEnd"/>
      <w:r>
        <w:t xml:space="preserve"> simulation ensures functionality. There can be variations in operating voltage, temperature and manufacturing process. During manufacturing the transistor length and the threshold voltage can vary. This report investigates propagation delay variations and shows a propagation delay ratio of </w:t>
      </w:r>
      <w:proofErr w:type="gramStart"/>
      <w:r>
        <w:t>2</w:t>
      </w:r>
      <w:proofErr w:type="gramEnd"/>
      <w:r>
        <w:t xml:space="preserve"> between a fast case with high voltage, low temperature and low Vth and a median propagation delay of 220 ps and a slow case giving a median propagation delay of 310ps.</w:t>
      </w:r>
    </w:p>
    <w:p w:rsidR="009303D9" w:rsidRPr="00D632BE" w:rsidRDefault="004F4AAC" w:rsidP="006B6B66">
      <w:pPr>
        <w:pStyle w:val="berschrift1"/>
      </w:pPr>
      <w:r>
        <w:t>Introduction</w:t>
      </w:r>
      <w:r w:rsidR="005A794F">
        <w:t xml:space="preserve"> </w:t>
      </w:r>
      <w:r w:rsidR="006678AC">
        <w:t>(</w:t>
      </w:r>
      <w:r w:rsidR="005A794F">
        <w:t>Task</w:t>
      </w:r>
      <w:r w:rsidR="006678AC">
        <w:t>)</w:t>
      </w:r>
    </w:p>
    <w:p w:rsidR="00506F90" w:rsidRDefault="00506F90" w:rsidP="00506F90">
      <w:pPr>
        <w:pStyle w:val="Textkrper"/>
        <w:rPr>
          <w:lang w:val="en-US"/>
        </w:rPr>
      </w:pPr>
      <w:r>
        <w:rPr>
          <w:lang w:val="en-US"/>
        </w:rPr>
        <w:t xml:space="preserve">Dynamic simulation of a CMOS inverter shows limitations of a given technology and confirms the correct application of a transistor model in LTSPICE simulation. The delay varies over switching cases and with load, parasitics, operating voltage, temperature and transistor threshold voltage. All these parameters </w:t>
      </w:r>
      <w:proofErr w:type="gramStart"/>
      <w:r>
        <w:rPr>
          <w:lang w:val="en-US"/>
        </w:rPr>
        <w:t>were varied</w:t>
      </w:r>
      <w:proofErr w:type="gramEnd"/>
      <w:r>
        <w:rPr>
          <w:lang w:val="en-US"/>
        </w:rPr>
        <w:t xml:space="preserve"> in simulation and delay times were extracted automatically and summarized in a box plot to show impact on delay</w:t>
      </w:r>
      <w:r w:rsidR="00662483">
        <w:rPr>
          <w:lang w:val="en-US"/>
        </w:rPr>
        <w:t xml:space="preserve"> [1]</w:t>
      </w:r>
      <w:r>
        <w:rPr>
          <w:lang w:val="en-US"/>
        </w:rPr>
        <w:t xml:space="preserve">. The schematic of the circuit </w:t>
      </w:r>
      <w:proofErr w:type="gramStart"/>
      <w:r>
        <w:rPr>
          <w:lang w:val="en-US"/>
        </w:rPr>
        <w:t>is shown</w:t>
      </w:r>
      <w:proofErr w:type="gramEnd"/>
      <w:r>
        <w:rPr>
          <w:lang w:val="en-US"/>
        </w:rPr>
        <w:t xml:space="preserve"> in figure 1.</w:t>
      </w:r>
    </w:p>
    <w:p w:rsidR="00506F90" w:rsidRDefault="003E7B76" w:rsidP="00506F90">
      <w:pPr>
        <w:pStyle w:val="Textkrper"/>
        <w:rPr>
          <w:lang w:val="en-US"/>
        </w:rPr>
      </w:pPr>
      <w:r w:rsidRPr="00506F90">
        <w:rPr>
          <w:lang w:val="de-DE"/>
        </w:rPr>
        <mc:AlternateContent>
          <mc:Choice Requires="v">
            <w:object w:dxaOrig="459pt" w:dyaOrig="93.7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45pt;height:45.3pt" o:ole="">
                <v:imagedata r:id="rId10" o:title=""/>
              </v:shape>
              <o:OLEObject Type="Embed" ProgID="Unknown" ShapeID="_x0000_i1025" DrawAspect="Content" ObjectID="_1778481644" r:id="rId11"/>
            </w:object>
          </mc:Choice>
          <mc:Fallback>
            <w:object>
              <w:drawing>
                <wp:inline distT="0" distB="0" distL="0" distR="0" wp14:anchorId="5EEE7509" wp14:editId="0DC57698">
                  <wp:extent cx="2825115" cy="575310"/>
                  <wp:effectExtent l="0" t="0" r="0" b="0"/>
                  <wp:docPr id="1" name="Objekt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1"/>
                          <pic:cNvPicPr>
                            <a:picLocks noChangeAspect="1" noChangeArrowheads="1"/>
                            <a:extLst>
                              <a:ext uri="{837473B0-CC2E-450a-ABE3-18F120FF3D37}">
                                <a15:objectPr xmlns:a15="http://schemas.microsoft.com/office/drawing/2012/main" objectId="_1778481644" isActiveX="0" linkType=""/>
                              </a:ext>
                            </a:extLst>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5115" cy="575310"/>
                          </a:xfrm>
                          <a:prstGeom prst="rect">
                            <a:avLst/>
                          </a:prstGeom>
                          <a:noFill/>
                          <a:ln>
                            <a:noFill/>
                          </a:ln>
                        </pic:spPr>
                      </pic:pic>
                    </a:graphicData>
                  </a:graphic>
                </wp:inline>
              </w:drawing>
              <w:objectEmbed w:drawAspect="content" r:id="rId11" w:progId="Unknown" w:shapeId="1" w:fieldCodes=""/>
            </w:object>
          </mc:Fallback>
        </mc:AlternateContent>
      </w:r>
    </w:p>
    <w:p w:rsidR="00506F90" w:rsidRDefault="00506F90" w:rsidP="00506F90">
      <w:pPr>
        <w:pStyle w:val="Textkrper"/>
        <w:rPr>
          <w:lang w:val="en-US"/>
        </w:rPr>
      </w:pPr>
      <w:r>
        <w:rPr>
          <w:lang w:val="en-US"/>
        </w:rPr>
        <w:t xml:space="preserve">Figure 1: </w:t>
      </w:r>
      <w:r w:rsidR="007E6A32">
        <w:rPr>
          <w:lang w:val="en-US"/>
        </w:rPr>
        <w:t>Inverter chain schematic</w:t>
      </w:r>
    </w:p>
    <w:p w:rsidR="007E6A32" w:rsidRDefault="007E6A32" w:rsidP="00506F90">
      <w:pPr>
        <w:pStyle w:val="Textkrper"/>
        <w:rPr>
          <w:lang w:val="en-US"/>
        </w:rPr>
      </w:pPr>
      <w:r>
        <w:rPr>
          <w:lang w:val="en-US"/>
        </w:rPr>
        <w:t xml:space="preserve">Realistic delay times </w:t>
      </w:r>
      <w:proofErr w:type="gramStart"/>
      <w:r>
        <w:rPr>
          <w:lang w:val="en-US"/>
        </w:rPr>
        <w:t>can only be extracted</w:t>
      </w:r>
      <w:proofErr w:type="gramEnd"/>
      <w:r>
        <w:rPr>
          <w:lang w:val="en-US"/>
        </w:rPr>
        <w:t xml:space="preserve"> with a realistic driver and realistic load of an inverter. There is a </w:t>
      </w:r>
      <w:proofErr w:type="gramStart"/>
      <w:r>
        <w:rPr>
          <w:lang w:val="en-US"/>
        </w:rPr>
        <w:t>1x</w:t>
      </w:r>
      <w:proofErr w:type="gramEnd"/>
      <w:r>
        <w:rPr>
          <w:lang w:val="en-US"/>
        </w:rPr>
        <w:t xml:space="preserve"> and 5x inverter present with different drive strength and input capacitance. Additional a polysilicon line </w:t>
      </w:r>
      <w:proofErr w:type="gramStart"/>
      <w:r>
        <w:rPr>
          <w:lang w:val="en-US"/>
        </w:rPr>
        <w:t>is inserted</w:t>
      </w:r>
      <w:proofErr w:type="gramEnd"/>
      <w:r>
        <w:rPr>
          <w:lang w:val="en-US"/>
        </w:rPr>
        <w:t xml:space="preserve"> between stages having an additional RC load. The layout </w:t>
      </w:r>
      <w:proofErr w:type="gramStart"/>
      <w:r>
        <w:rPr>
          <w:lang w:val="en-US"/>
        </w:rPr>
        <w:t>is shown</w:t>
      </w:r>
      <w:proofErr w:type="gramEnd"/>
      <w:r>
        <w:rPr>
          <w:lang w:val="en-US"/>
        </w:rPr>
        <w:t xml:space="preserve"> in figure 2.</w:t>
      </w:r>
    </w:p>
    <w:p w:rsidR="00983F63" w:rsidRDefault="00983F63" w:rsidP="00983F63">
      <w:pPr>
        <w:pStyle w:val="Textkrper"/>
        <w:rPr>
          <w:lang w:val="en-US"/>
        </w:rPr>
      </w:pPr>
      <w:r>
        <w:rPr>
          <w:noProof/>
          <w:lang w:val="de-DE" w:eastAsia="de-DE"/>
        </w:rPr>
        <w:drawing>
          <wp:inline distT="0" distB="0" distL="0" distR="0" wp14:anchorId="52671298" wp14:editId="1E0FBA12">
            <wp:extent cx="1625239" cy="790575"/>
            <wp:effectExtent l="0" t="0" r="0" b="0"/>
            <wp:docPr id="1" name="Grafik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13"/>
                    <a:stretch>
                      <a:fillRect/>
                    </a:stretch>
                  </pic:blipFill>
                  <pic:spPr>
                    <a:xfrm>
                      <a:off x="0" y="0"/>
                      <a:ext cx="1697093" cy="825527"/>
                    </a:xfrm>
                    <a:prstGeom prst="rect">
                      <a:avLst/>
                    </a:prstGeom>
                  </pic:spPr>
                </pic:pic>
              </a:graphicData>
            </a:graphic>
          </wp:inline>
        </w:drawing>
      </w:r>
    </w:p>
    <w:p w:rsidR="007E6A32" w:rsidRDefault="007E6A32" w:rsidP="00506F90">
      <w:pPr>
        <w:pStyle w:val="Textkrper"/>
        <w:rPr>
          <w:lang w:val="en-US"/>
        </w:rPr>
      </w:pPr>
      <w:r>
        <w:rPr>
          <w:lang w:val="en-US"/>
        </w:rPr>
        <w:t xml:space="preserve">Figure 2: Inverter chain layout </w:t>
      </w:r>
    </w:p>
    <w:p w:rsidR="007E6A32" w:rsidRPr="00C415C3" w:rsidRDefault="007E6A32" w:rsidP="00506F90">
      <w:pPr>
        <w:pStyle w:val="Textkrper"/>
        <w:rPr>
          <w:lang w:val="en-US"/>
        </w:rPr>
      </w:pPr>
      <w:r>
        <w:rPr>
          <w:lang w:val="en-US"/>
        </w:rPr>
        <w:t xml:space="preserve">   </w:t>
      </w:r>
      <w:r w:rsidR="00983F63">
        <w:rPr>
          <w:lang w:val="en-US"/>
        </w:rPr>
        <w:t xml:space="preserve">The standard cells with VDD on top and GND at the bottom are used. Larger inverters </w:t>
      </w:r>
      <w:proofErr w:type="gramStart"/>
      <w:r w:rsidR="00983F63">
        <w:rPr>
          <w:lang w:val="en-US"/>
        </w:rPr>
        <w:t>are built</w:t>
      </w:r>
      <w:proofErr w:type="gramEnd"/>
      <w:r w:rsidR="00983F63">
        <w:rPr>
          <w:lang w:val="en-US"/>
        </w:rPr>
        <w:t xml:space="preserve"> using unit transistors in parallel or in series. </w:t>
      </w:r>
      <w:r w:rsidR="002D1A66">
        <w:rPr>
          <w:lang w:val="en-US"/>
        </w:rPr>
        <w:t xml:space="preserve">The output signals are routed with the vertical pink lines in metal </w:t>
      </w:r>
      <w:proofErr w:type="gramStart"/>
      <w:r w:rsidR="002D1A66">
        <w:rPr>
          <w:lang w:val="en-US"/>
        </w:rPr>
        <w:t>2</w:t>
      </w:r>
      <w:proofErr w:type="gramEnd"/>
      <w:r w:rsidR="002D1A66">
        <w:rPr>
          <w:lang w:val="en-US"/>
        </w:rPr>
        <w:t xml:space="preserve">. A serpentine orange line is an added polysilicon RC delay. </w:t>
      </w:r>
      <w:proofErr w:type="gramStart"/>
      <w:r w:rsidR="002D1A66">
        <w:rPr>
          <w:lang w:val="en-US"/>
        </w:rPr>
        <w:t>4</w:t>
      </w:r>
      <w:proofErr w:type="gramEnd"/>
      <w:r w:rsidR="002D1A66">
        <w:rPr>
          <w:lang w:val="en-US"/>
        </w:rPr>
        <w:t xml:space="preserve"> transistor models are provided for low Vth and high Vth for NFET and PFET (LL, HL, LH, LL). </w:t>
      </w:r>
    </w:p>
    <w:p w:rsidR="009303D9" w:rsidRPr="006B6B66" w:rsidRDefault="002D1A66" w:rsidP="006B6B66">
      <w:pPr>
        <w:pStyle w:val="berschrift1"/>
      </w:pPr>
      <w:r>
        <w:t>Measurement</w:t>
      </w:r>
      <w:r w:rsidR="006678AC">
        <w:t xml:space="preserve"> (</w:t>
      </w:r>
      <w:r>
        <w:t>ACTION</w:t>
      </w:r>
      <w:r w:rsidR="006678AC">
        <w:t>)</w:t>
      </w:r>
    </w:p>
    <w:p w:rsidR="002D1A66" w:rsidRDefault="005A794F" w:rsidP="00E7596C">
      <w:pPr>
        <w:pStyle w:val="Textkrper"/>
        <w:rPr>
          <w:lang w:val="en-US"/>
        </w:rPr>
      </w:pPr>
      <w:r>
        <w:rPr>
          <w:lang w:val="en-US"/>
        </w:rPr>
        <w:t xml:space="preserve">The </w:t>
      </w:r>
      <w:r w:rsidR="002D1A66">
        <w:rPr>
          <w:lang w:val="en-US"/>
        </w:rPr>
        <w:t xml:space="preserve">inverter chain simulation gives the delay of rising and falling edges at all </w:t>
      </w:r>
      <w:proofErr w:type="gramStart"/>
      <w:r w:rsidR="002D1A66">
        <w:rPr>
          <w:lang w:val="en-US"/>
        </w:rPr>
        <w:t>8</w:t>
      </w:r>
      <w:proofErr w:type="gramEnd"/>
      <w:r w:rsidR="002D1A66">
        <w:rPr>
          <w:lang w:val="en-US"/>
        </w:rPr>
        <w:t xml:space="preserve"> outputs. </w:t>
      </w:r>
      <w:proofErr w:type="spellStart"/>
      <w:r w:rsidR="002D1A66">
        <w:rPr>
          <w:lang w:val="en-US"/>
        </w:rPr>
        <w:t>Automatical</w:t>
      </w:r>
      <w:proofErr w:type="spellEnd"/>
      <w:r w:rsidR="002D1A66">
        <w:rPr>
          <w:lang w:val="en-US"/>
        </w:rPr>
        <w:t xml:space="preserve"> measurements </w:t>
      </w:r>
      <w:proofErr w:type="gramStart"/>
      <w:r w:rsidR="002D1A66">
        <w:rPr>
          <w:lang w:val="en-US"/>
        </w:rPr>
        <w:t>were implemented</w:t>
      </w:r>
      <w:proofErr w:type="gramEnd"/>
      <w:r w:rsidR="002D1A66">
        <w:rPr>
          <w:lang w:val="en-US"/>
        </w:rPr>
        <w:t xml:space="preserve"> using the measurement statement.</w:t>
      </w:r>
    </w:p>
    <w:p w:rsidR="002D1A66" w:rsidRPr="002D1A66" w:rsidRDefault="002D1A66" w:rsidP="002D1A66">
      <w:pPr>
        <w:tabs>
          <w:tab w:val="start" w:pos="45.80pt"/>
          <w:tab w:val="start" w:pos="91.60pt"/>
          <w:tab w:val="start" w:pos="137.40pt"/>
          <w:tab w:val="start" w:pos="183.20pt"/>
          <w:tab w:val="start" w:pos="229pt"/>
          <w:tab w:val="start" w:pos="274.80pt"/>
          <w:tab w:val="start" w:pos="320.60pt"/>
          <w:tab w:val="start" w:pos="366.40pt"/>
          <w:tab w:val="start" w:pos="412.20pt"/>
          <w:tab w:val="start" w:pos="458pt"/>
          <w:tab w:val="start" w:pos="503.80pt"/>
          <w:tab w:val="start" w:pos="549.60pt"/>
          <w:tab w:val="start" w:pos="595.40pt"/>
          <w:tab w:val="start" w:pos="641.20pt"/>
          <w:tab w:val="start" w:pos="687pt"/>
          <w:tab w:val="start" w:pos="732.80pt"/>
        </w:tabs>
        <w:jc w:val="start"/>
        <w:rPr>
          <w:rFonts w:ascii="Courier New" w:eastAsia="Times New Roman" w:hAnsi="Courier New" w:cs="Courier New"/>
          <w:sz w:val="16"/>
          <w:szCs w:val="16"/>
          <w:lang w:eastAsia="de-DE"/>
        </w:rPr>
      </w:pPr>
      <w:r w:rsidRPr="002D1A66">
        <w:rPr>
          <w:rFonts w:ascii="Courier New" w:eastAsia="Times New Roman" w:hAnsi="Courier New" w:cs="Courier New"/>
          <w:sz w:val="16"/>
          <w:szCs w:val="16"/>
          <w:lang w:eastAsia="de-DE"/>
        </w:rPr>
        <w:t xml:space="preserve">.MEAS TRAN T1_V0650 WHEN </w:t>
      </w:r>
      <w:proofErr w:type="gramStart"/>
      <w:r w:rsidRPr="002D1A66">
        <w:rPr>
          <w:rFonts w:ascii="Courier New" w:eastAsia="Times New Roman" w:hAnsi="Courier New" w:cs="Courier New"/>
          <w:sz w:val="16"/>
          <w:szCs w:val="16"/>
          <w:lang w:eastAsia="de-DE"/>
        </w:rPr>
        <w:t>V(</w:t>
      </w:r>
      <w:proofErr w:type="gramEnd"/>
      <w:r w:rsidRPr="002D1A66">
        <w:rPr>
          <w:rFonts w:ascii="Courier New" w:eastAsia="Times New Roman" w:hAnsi="Courier New" w:cs="Courier New"/>
          <w:sz w:val="16"/>
          <w:szCs w:val="16"/>
          <w:lang w:eastAsia="de-DE"/>
        </w:rPr>
        <w:t>vout6)=V(VDD)/2 RISE=1</w:t>
      </w:r>
    </w:p>
    <w:p w:rsidR="002D1A66" w:rsidRPr="002D1A66" w:rsidRDefault="002D1A66" w:rsidP="002D1A66">
      <w:pPr>
        <w:tabs>
          <w:tab w:val="start" w:pos="45.80pt"/>
          <w:tab w:val="start" w:pos="91.60pt"/>
          <w:tab w:val="start" w:pos="137.40pt"/>
          <w:tab w:val="start" w:pos="183.20pt"/>
          <w:tab w:val="start" w:pos="229pt"/>
          <w:tab w:val="start" w:pos="274.80pt"/>
          <w:tab w:val="start" w:pos="320.60pt"/>
          <w:tab w:val="start" w:pos="366.40pt"/>
          <w:tab w:val="start" w:pos="412.20pt"/>
          <w:tab w:val="start" w:pos="458pt"/>
          <w:tab w:val="start" w:pos="503.80pt"/>
          <w:tab w:val="start" w:pos="549.60pt"/>
          <w:tab w:val="start" w:pos="595.40pt"/>
          <w:tab w:val="start" w:pos="641.20pt"/>
          <w:tab w:val="start" w:pos="687pt"/>
          <w:tab w:val="start" w:pos="732.80pt"/>
        </w:tabs>
        <w:jc w:val="start"/>
        <w:rPr>
          <w:rFonts w:ascii="Courier New" w:eastAsia="Times New Roman" w:hAnsi="Courier New" w:cs="Courier New"/>
          <w:sz w:val="16"/>
          <w:szCs w:val="16"/>
          <w:lang w:eastAsia="de-DE"/>
        </w:rPr>
      </w:pPr>
      <w:r w:rsidRPr="002D1A66">
        <w:rPr>
          <w:rFonts w:ascii="Courier New" w:eastAsia="Times New Roman" w:hAnsi="Courier New" w:cs="Courier New"/>
          <w:sz w:val="16"/>
          <w:szCs w:val="16"/>
          <w:lang w:eastAsia="de-DE"/>
        </w:rPr>
        <w:t xml:space="preserve">.MEAS TRAN T2_V0790 WHEN </w:t>
      </w:r>
      <w:proofErr w:type="gramStart"/>
      <w:r w:rsidRPr="002D1A66">
        <w:rPr>
          <w:rFonts w:ascii="Courier New" w:eastAsia="Times New Roman" w:hAnsi="Courier New" w:cs="Courier New"/>
          <w:sz w:val="16"/>
          <w:szCs w:val="16"/>
          <w:lang w:eastAsia="de-DE"/>
        </w:rPr>
        <w:t>V(</w:t>
      </w:r>
      <w:proofErr w:type="gramEnd"/>
      <w:r w:rsidRPr="002D1A66">
        <w:rPr>
          <w:rFonts w:ascii="Courier New" w:eastAsia="Times New Roman" w:hAnsi="Courier New" w:cs="Courier New"/>
          <w:sz w:val="16"/>
          <w:szCs w:val="16"/>
          <w:lang w:eastAsia="de-DE"/>
        </w:rPr>
        <w:t>vout7)=V(VDD)/2 FALL=1</w:t>
      </w:r>
    </w:p>
    <w:p w:rsidR="002D1A66" w:rsidRPr="002D1A66" w:rsidRDefault="002D1A66" w:rsidP="002D1A66">
      <w:pPr>
        <w:pStyle w:val="HTMLVorformatiert"/>
        <w:rPr>
          <w:sz w:val="16"/>
          <w:szCs w:val="16"/>
          <w:lang w:val="en-US"/>
        </w:rPr>
      </w:pPr>
      <w:r w:rsidRPr="002D1A66">
        <w:rPr>
          <w:sz w:val="16"/>
          <w:szCs w:val="16"/>
          <w:lang w:val="en-US"/>
        </w:rPr>
        <w:t>.MEAS TRAN PROP PARAM T2_V0750-T2_V0650</w:t>
      </w:r>
    </w:p>
    <w:p w:rsidR="009303D9" w:rsidRDefault="002D1A66" w:rsidP="00E7596C">
      <w:pPr>
        <w:pStyle w:val="Textkrper"/>
        <w:rPr>
          <w:lang w:val="en-US"/>
        </w:rPr>
      </w:pPr>
      <w:r>
        <w:rPr>
          <w:lang w:val="en-US"/>
        </w:rPr>
        <w:t xml:space="preserve">Transistor threshold voltage, supply voltage and temperature were varied in </w:t>
      </w:r>
      <w:proofErr w:type="gramStart"/>
      <w:r>
        <w:rPr>
          <w:lang w:val="en-US"/>
        </w:rPr>
        <w:t>8</w:t>
      </w:r>
      <w:proofErr w:type="gramEnd"/>
      <w:r>
        <w:rPr>
          <w:lang w:val="en-US"/>
        </w:rPr>
        <w:t xml:space="preserve"> LTSPICE simulation</w:t>
      </w:r>
      <w:r w:rsidR="006678AC">
        <w:rPr>
          <w:lang w:val="en-US"/>
        </w:rPr>
        <w:t>.</w:t>
      </w:r>
      <w:r>
        <w:rPr>
          <w:lang w:val="en-US"/>
        </w:rPr>
        <w:t xml:space="preserve"> Each simulation gave 16 values for </w:t>
      </w:r>
      <w:proofErr w:type="gramStart"/>
      <w:r>
        <w:rPr>
          <w:lang w:val="en-US"/>
        </w:rPr>
        <w:t>8</w:t>
      </w:r>
      <w:proofErr w:type="gramEnd"/>
      <w:r>
        <w:rPr>
          <w:lang w:val="en-US"/>
        </w:rPr>
        <w:t xml:space="preserve"> outputs and rising and falling edges. This investigation is not possible without automation of extracting delays from simulation data. It would be convenient if the </w:t>
      </w:r>
      <w:proofErr w:type="gramStart"/>
      <w:r w:rsidR="00F14AB2">
        <w:rPr>
          <w:lang w:val="en-US"/>
        </w:rPr>
        <w:t>8</w:t>
      </w:r>
      <w:proofErr w:type="gramEnd"/>
      <w:r w:rsidR="00F14AB2">
        <w:rPr>
          <w:lang w:val="en-US"/>
        </w:rPr>
        <w:t xml:space="preserve"> LTSPICE simulations with could also be automated. The data </w:t>
      </w:r>
      <w:proofErr w:type="gramStart"/>
      <w:r w:rsidR="00F14AB2">
        <w:rPr>
          <w:lang w:val="en-US"/>
        </w:rPr>
        <w:t>was post processed</w:t>
      </w:r>
      <w:proofErr w:type="gramEnd"/>
      <w:r w:rsidR="00F14AB2">
        <w:rPr>
          <w:lang w:val="en-US"/>
        </w:rPr>
        <w:t xml:space="preserve"> in Excel. A template for a box plot was </w:t>
      </w:r>
      <w:proofErr w:type="gramStart"/>
      <w:r w:rsidR="00F14AB2">
        <w:rPr>
          <w:lang w:val="en-US"/>
        </w:rPr>
        <w:t>provided  and</w:t>
      </w:r>
      <w:proofErr w:type="gramEnd"/>
      <w:r w:rsidR="00F14AB2">
        <w:rPr>
          <w:lang w:val="en-US"/>
        </w:rPr>
        <w:t xml:space="preserve"> the meaning of the </w:t>
      </w:r>
      <w:proofErr w:type="spellStart"/>
      <w:r w:rsidR="00F14AB2">
        <w:rPr>
          <w:lang w:val="en-US"/>
        </w:rPr>
        <w:t>th</w:t>
      </w:r>
      <w:r w:rsidR="003755BA">
        <w:rPr>
          <w:lang w:val="en-US"/>
        </w:rPr>
        <w:t>e</w:t>
      </w:r>
      <w:proofErr w:type="spellEnd"/>
      <w:r w:rsidR="003755BA">
        <w:rPr>
          <w:lang w:val="en-US"/>
        </w:rPr>
        <w:t xml:space="preserve"> information of the box is giv</w:t>
      </w:r>
      <w:r w:rsidR="00F14AB2">
        <w:rPr>
          <w:lang w:val="en-US"/>
        </w:rPr>
        <w:t>en in figure 3.</w:t>
      </w:r>
    </w:p>
    <w:p w:rsidR="00F14AB2" w:rsidRDefault="00F14AB2" w:rsidP="00E7596C">
      <w:pPr>
        <w:pStyle w:val="Textkrper"/>
        <w:rPr>
          <w:lang w:val="en-US"/>
        </w:rPr>
      </w:pPr>
      <w:r>
        <w:rPr>
          <w:noProof/>
          <w:lang w:val="de-DE" w:eastAsia="de-DE"/>
        </w:rPr>
        <w:drawing>
          <wp:inline distT="0" distB="0" distL="0" distR="0" wp14:anchorId="603E6B3C" wp14:editId="2D23BF59">
            <wp:extent cx="1368789" cy="685800"/>
            <wp:effectExtent l="0" t="0" r="3175" b="0"/>
            <wp:docPr id="48" name="Grafik 4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14"/>
                    <a:stretch>
                      <a:fillRect/>
                    </a:stretch>
                  </pic:blipFill>
                  <pic:spPr>
                    <a:xfrm>
                      <a:off x="0" y="0"/>
                      <a:ext cx="1447056" cy="725014"/>
                    </a:xfrm>
                    <a:prstGeom prst="rect">
                      <a:avLst/>
                    </a:prstGeom>
                  </pic:spPr>
                </pic:pic>
              </a:graphicData>
            </a:graphic>
          </wp:inline>
        </w:drawing>
      </w:r>
    </w:p>
    <w:p w:rsidR="00F14AB2" w:rsidRDefault="00F14AB2" w:rsidP="00E7596C">
      <w:pPr>
        <w:pStyle w:val="Textkrper"/>
        <w:rPr>
          <w:lang w:val="en-US"/>
        </w:rPr>
      </w:pPr>
      <w:r>
        <w:rPr>
          <w:lang w:val="en-US"/>
        </w:rPr>
        <w:t>Figure 3: Explanation of the graphical information</w:t>
      </w:r>
    </w:p>
    <w:p w:rsidR="00F14AB2" w:rsidRDefault="00F14AB2" w:rsidP="00E7596C">
      <w:pPr>
        <w:pStyle w:val="Textkrper"/>
        <w:rPr>
          <w:lang w:val="en-US"/>
        </w:rPr>
      </w:pPr>
      <w:r>
        <w:rPr>
          <w:lang w:val="en-US"/>
        </w:rPr>
        <w:t xml:space="preserve">The mean value and 5, 25, 75 and 95 percentiles </w:t>
      </w:r>
      <w:proofErr w:type="gramStart"/>
      <w:r>
        <w:rPr>
          <w:lang w:val="en-US"/>
        </w:rPr>
        <w:t>can be seen</w:t>
      </w:r>
      <w:proofErr w:type="gramEnd"/>
      <w:r>
        <w:rPr>
          <w:lang w:val="en-US"/>
        </w:rPr>
        <w:t xml:space="preserve"> in the box. A 75 percentile is drawn were 75 percent of values are below this measurement value.</w:t>
      </w:r>
    </w:p>
    <w:p w:rsidR="00243E2C" w:rsidRPr="00C61E99" w:rsidRDefault="00F14AB2" w:rsidP="00243E2C">
      <w:pPr>
        <w:pStyle w:val="Textkrper"/>
        <w:rPr>
          <w:lang w:val="en-US"/>
        </w:rPr>
      </w:pPr>
      <w:r>
        <w:rPr>
          <w:lang w:val="en-US"/>
        </w:rPr>
        <w:t xml:space="preserve">The </w:t>
      </w:r>
      <w:proofErr w:type="gramStart"/>
      <w:r>
        <w:rPr>
          <w:lang w:val="en-US"/>
        </w:rPr>
        <w:t>final result</w:t>
      </w:r>
      <w:proofErr w:type="gramEnd"/>
      <w:r>
        <w:rPr>
          <w:lang w:val="en-US"/>
        </w:rPr>
        <w:t xml:space="preserve"> is shown in the figure at the top. The nominal value of delay time is around </w:t>
      </w:r>
      <w:proofErr w:type="gramStart"/>
      <w:r>
        <w:rPr>
          <w:lang w:val="en-US"/>
        </w:rPr>
        <w:t>220 ps</w:t>
      </w:r>
      <w:proofErr w:type="gramEnd"/>
      <w:r>
        <w:rPr>
          <w:lang w:val="en-US"/>
        </w:rPr>
        <w:t>. High temperature, low voltage or high threshold voltages increase the median values up to 320 ps.</w:t>
      </w:r>
    </w:p>
    <w:p w:rsidR="008E58C9" w:rsidRPr="00243E2C" w:rsidRDefault="00243E2C" w:rsidP="00243E2C">
      <w:pPr>
        <w:pStyle w:val="tablehead"/>
      </w:pPr>
      <w:r>
        <w:t>Simulation Cases</w:t>
      </w:r>
    </w:p>
    <w:tbl>
      <w:tblPr>
        <w:tblW w:w="248pt" w:type="dxa"/>
        <w:tblInd w:w="0.25pt" w:type="dxa"/>
        <w:tblCellMar>
          <w:start w:w="3.50pt" w:type="dxa"/>
          <w:end w:w="3.50pt" w:type="dxa"/>
        </w:tblCellMar>
        <w:tblLook w:firstRow="1" w:lastRow="0" w:firstColumn="1" w:lastColumn="0" w:noHBand="0" w:noVBand="1"/>
      </w:tblPr>
      <w:tblGrid>
        <w:gridCol w:w="940"/>
        <w:gridCol w:w="420"/>
        <w:gridCol w:w="520"/>
        <w:gridCol w:w="520"/>
        <w:gridCol w:w="520"/>
        <w:gridCol w:w="520"/>
        <w:gridCol w:w="500"/>
        <w:gridCol w:w="520"/>
        <w:gridCol w:w="500"/>
      </w:tblGrid>
      <w:tr w:rsidR="00243E2C" w:rsidRPr="00243E2C" w:rsidTr="00243E2C">
        <w:trPr>
          <w:trHeight w:val="300"/>
        </w:trPr>
        <w:tc>
          <w:tcPr>
            <w:tcW w:w="47pt" w:type="dxa"/>
            <w:tcBorders>
              <w:top w:val="single" w:sz="4" w:space="0" w:color="auto"/>
              <w:start w:val="single" w:sz="4" w:space="0" w:color="auto"/>
              <w:bottom w:val="single" w:sz="4" w:space="0" w:color="auto"/>
              <w:end w:val="single" w:sz="4" w:space="0" w:color="auto"/>
            </w:tcBorders>
            <w:shd w:val="clear" w:color="auto" w:fill="auto"/>
            <w:vAlign w:val="center"/>
            <w:hideMark/>
          </w:tcPr>
          <w:p w:rsidR="00243E2C" w:rsidRPr="00243E2C" w:rsidRDefault="00243E2C" w:rsidP="00243E2C">
            <w:pPr>
              <w:rPr>
                <w:rFonts w:eastAsia="Times New Roman"/>
                <w:b/>
                <w:bCs/>
                <w:color w:val="000000"/>
                <w:sz w:val="16"/>
                <w:szCs w:val="16"/>
                <w:lang w:val="de-DE" w:eastAsia="de-DE"/>
              </w:rPr>
            </w:pPr>
            <w:r w:rsidRPr="00243E2C">
              <w:rPr>
                <w:rFonts w:eastAsia="Times New Roman"/>
                <w:b/>
                <w:bCs/>
                <w:color w:val="000000"/>
                <w:sz w:val="16"/>
                <w:szCs w:val="16"/>
                <w:lang w:val="de-DE" w:eastAsia="de-DE"/>
              </w:rPr>
              <w:t>Parameter</w:t>
            </w:r>
          </w:p>
        </w:tc>
        <w:tc>
          <w:tcPr>
            <w:tcW w:w="21pt" w:type="dxa"/>
            <w:tcBorders>
              <w:top w:val="single" w:sz="4" w:space="0" w:color="auto"/>
              <w:start w:val="nil"/>
              <w:bottom w:val="single" w:sz="4" w:space="0" w:color="auto"/>
              <w:end w:val="single" w:sz="4" w:space="0" w:color="auto"/>
            </w:tcBorders>
            <w:shd w:val="clear" w:color="auto" w:fill="auto"/>
            <w:vAlign w:val="center"/>
            <w:hideMark/>
          </w:tcPr>
          <w:p w:rsidR="00243E2C" w:rsidRPr="00243E2C" w:rsidRDefault="00243E2C" w:rsidP="00243E2C">
            <w:pPr>
              <w:rPr>
                <w:rFonts w:eastAsia="Times New Roman"/>
                <w:b/>
                <w:bCs/>
                <w:i/>
                <w:iCs/>
                <w:color w:val="000000"/>
                <w:sz w:val="15"/>
                <w:szCs w:val="15"/>
                <w:lang w:val="de-DE" w:eastAsia="de-DE"/>
              </w:rPr>
            </w:pPr>
            <w:r w:rsidRPr="00243E2C">
              <w:rPr>
                <w:rFonts w:eastAsia="Times New Roman"/>
                <w:b/>
                <w:bCs/>
                <w:i/>
                <w:iCs/>
                <w:color w:val="000000"/>
                <w:sz w:val="15"/>
                <w:szCs w:val="15"/>
                <w:lang w:eastAsia="de-DE"/>
              </w:rPr>
              <w:t>N</w:t>
            </w:r>
          </w:p>
        </w:tc>
        <w:tc>
          <w:tcPr>
            <w:tcW w:w="26pt" w:type="dxa"/>
            <w:tcBorders>
              <w:top w:val="single" w:sz="4" w:space="0" w:color="auto"/>
              <w:start w:val="nil"/>
              <w:bottom w:val="single" w:sz="4" w:space="0" w:color="auto"/>
              <w:end w:val="single" w:sz="4" w:space="0" w:color="auto"/>
            </w:tcBorders>
            <w:shd w:val="clear" w:color="auto" w:fill="auto"/>
            <w:vAlign w:val="center"/>
            <w:hideMark/>
          </w:tcPr>
          <w:p w:rsidR="00243E2C" w:rsidRPr="00243E2C" w:rsidRDefault="00243E2C" w:rsidP="00243E2C">
            <w:pPr>
              <w:rPr>
                <w:rFonts w:eastAsia="Times New Roman"/>
                <w:b/>
                <w:bCs/>
                <w:i/>
                <w:iCs/>
                <w:color w:val="000000"/>
                <w:sz w:val="15"/>
                <w:szCs w:val="15"/>
                <w:lang w:val="de-DE" w:eastAsia="de-DE"/>
              </w:rPr>
            </w:pPr>
            <w:r w:rsidRPr="00243E2C">
              <w:rPr>
                <w:rFonts w:eastAsia="Times New Roman"/>
                <w:b/>
                <w:bCs/>
                <w:i/>
                <w:iCs/>
                <w:color w:val="000000"/>
                <w:sz w:val="15"/>
                <w:szCs w:val="15"/>
                <w:lang w:val="de-DE" w:eastAsia="de-DE"/>
              </w:rPr>
              <w:t>NV</w:t>
            </w:r>
          </w:p>
        </w:tc>
        <w:tc>
          <w:tcPr>
            <w:tcW w:w="26pt" w:type="dxa"/>
            <w:tcBorders>
              <w:top w:val="single" w:sz="4" w:space="0" w:color="auto"/>
              <w:start w:val="nil"/>
              <w:bottom w:val="single" w:sz="4" w:space="0" w:color="auto"/>
              <w:end w:val="single" w:sz="4" w:space="0" w:color="auto"/>
            </w:tcBorders>
            <w:shd w:val="clear" w:color="auto" w:fill="auto"/>
            <w:vAlign w:val="center"/>
            <w:hideMark/>
          </w:tcPr>
          <w:p w:rsidR="00243E2C" w:rsidRPr="00243E2C" w:rsidRDefault="00243E2C" w:rsidP="00243E2C">
            <w:pPr>
              <w:rPr>
                <w:rFonts w:eastAsia="Times New Roman"/>
                <w:b/>
                <w:bCs/>
                <w:i/>
                <w:iCs/>
                <w:color w:val="000000"/>
                <w:sz w:val="15"/>
                <w:szCs w:val="15"/>
                <w:lang w:val="de-DE" w:eastAsia="de-DE"/>
              </w:rPr>
            </w:pPr>
            <w:r w:rsidRPr="00243E2C">
              <w:rPr>
                <w:rFonts w:eastAsia="Times New Roman"/>
                <w:b/>
                <w:bCs/>
                <w:i/>
                <w:iCs/>
                <w:color w:val="000000"/>
                <w:sz w:val="15"/>
                <w:szCs w:val="15"/>
                <w:lang w:val="de-DE" w:eastAsia="de-DE"/>
              </w:rPr>
              <w:t>HV</w:t>
            </w:r>
          </w:p>
        </w:tc>
        <w:tc>
          <w:tcPr>
            <w:tcW w:w="26pt" w:type="dxa"/>
            <w:tcBorders>
              <w:top w:val="single" w:sz="4" w:space="0" w:color="auto"/>
              <w:start w:val="nil"/>
              <w:bottom w:val="single" w:sz="4" w:space="0" w:color="auto"/>
              <w:end w:val="single" w:sz="4" w:space="0" w:color="auto"/>
            </w:tcBorders>
            <w:shd w:val="clear" w:color="auto" w:fill="auto"/>
            <w:vAlign w:val="center"/>
            <w:hideMark/>
          </w:tcPr>
          <w:p w:rsidR="00243E2C" w:rsidRPr="00243E2C" w:rsidRDefault="00243E2C" w:rsidP="00243E2C">
            <w:pPr>
              <w:rPr>
                <w:rFonts w:eastAsia="Times New Roman"/>
                <w:b/>
                <w:bCs/>
                <w:i/>
                <w:iCs/>
                <w:color w:val="000000"/>
                <w:sz w:val="15"/>
                <w:szCs w:val="15"/>
                <w:lang w:val="de-DE" w:eastAsia="de-DE"/>
              </w:rPr>
            </w:pPr>
            <w:r w:rsidRPr="00243E2C">
              <w:rPr>
                <w:rFonts w:eastAsia="Times New Roman"/>
                <w:b/>
                <w:bCs/>
                <w:i/>
                <w:iCs/>
                <w:color w:val="000000"/>
                <w:sz w:val="15"/>
                <w:szCs w:val="15"/>
                <w:lang w:val="de-DE" w:eastAsia="de-DE"/>
              </w:rPr>
              <w:t>LV</w:t>
            </w:r>
          </w:p>
        </w:tc>
        <w:tc>
          <w:tcPr>
            <w:tcW w:w="26pt" w:type="dxa"/>
            <w:tcBorders>
              <w:top w:val="single" w:sz="4" w:space="0" w:color="auto"/>
              <w:start w:val="nil"/>
              <w:bottom w:val="single" w:sz="4" w:space="0" w:color="auto"/>
              <w:end w:val="single" w:sz="4" w:space="0" w:color="auto"/>
            </w:tcBorders>
            <w:shd w:val="clear" w:color="auto" w:fill="auto"/>
            <w:vAlign w:val="center"/>
            <w:hideMark/>
          </w:tcPr>
          <w:p w:rsidR="00243E2C" w:rsidRPr="00243E2C" w:rsidRDefault="00243E2C" w:rsidP="00243E2C">
            <w:pPr>
              <w:rPr>
                <w:rFonts w:eastAsia="Times New Roman"/>
                <w:b/>
                <w:bCs/>
                <w:i/>
                <w:iCs/>
                <w:color w:val="000000"/>
                <w:sz w:val="15"/>
                <w:szCs w:val="15"/>
                <w:lang w:val="de-DE" w:eastAsia="de-DE"/>
              </w:rPr>
            </w:pPr>
            <w:r w:rsidRPr="00243E2C">
              <w:rPr>
                <w:rFonts w:eastAsia="Times New Roman"/>
                <w:b/>
                <w:bCs/>
                <w:i/>
                <w:iCs/>
                <w:color w:val="000000"/>
                <w:sz w:val="15"/>
                <w:szCs w:val="15"/>
                <w:lang w:val="de-DE" w:eastAsia="de-DE"/>
              </w:rPr>
              <w:t>HT</w:t>
            </w:r>
          </w:p>
        </w:tc>
        <w:tc>
          <w:tcPr>
            <w:tcW w:w="25pt" w:type="dxa"/>
            <w:tcBorders>
              <w:top w:val="single" w:sz="4" w:space="0" w:color="auto"/>
              <w:start w:val="nil"/>
              <w:bottom w:val="single" w:sz="4" w:space="0" w:color="auto"/>
              <w:end w:val="single" w:sz="4" w:space="0" w:color="auto"/>
            </w:tcBorders>
            <w:shd w:val="clear" w:color="auto" w:fill="auto"/>
            <w:vAlign w:val="center"/>
            <w:hideMark/>
          </w:tcPr>
          <w:p w:rsidR="00243E2C" w:rsidRPr="00243E2C" w:rsidRDefault="00243E2C" w:rsidP="00243E2C">
            <w:pPr>
              <w:rPr>
                <w:rFonts w:eastAsia="Times New Roman"/>
                <w:b/>
                <w:bCs/>
                <w:i/>
                <w:iCs/>
                <w:color w:val="000000"/>
                <w:sz w:val="15"/>
                <w:szCs w:val="15"/>
                <w:lang w:val="de-DE" w:eastAsia="de-DE"/>
              </w:rPr>
            </w:pPr>
            <w:r w:rsidRPr="00243E2C">
              <w:rPr>
                <w:rFonts w:eastAsia="Times New Roman"/>
                <w:b/>
                <w:bCs/>
                <w:i/>
                <w:iCs/>
                <w:color w:val="000000"/>
                <w:sz w:val="15"/>
                <w:szCs w:val="15"/>
                <w:lang w:eastAsia="de-DE"/>
              </w:rPr>
              <w:t>LT</w:t>
            </w:r>
          </w:p>
        </w:tc>
        <w:tc>
          <w:tcPr>
            <w:tcW w:w="26pt" w:type="dxa"/>
            <w:tcBorders>
              <w:top w:val="single" w:sz="4" w:space="0" w:color="auto"/>
              <w:start w:val="nil"/>
              <w:bottom w:val="single" w:sz="4" w:space="0" w:color="auto"/>
              <w:end w:val="single" w:sz="4" w:space="0" w:color="auto"/>
            </w:tcBorders>
            <w:shd w:val="clear" w:color="auto" w:fill="auto"/>
            <w:vAlign w:val="center"/>
            <w:hideMark/>
          </w:tcPr>
          <w:p w:rsidR="00243E2C" w:rsidRPr="00243E2C" w:rsidRDefault="00243E2C" w:rsidP="00243E2C">
            <w:pPr>
              <w:rPr>
                <w:rFonts w:eastAsia="Times New Roman"/>
                <w:b/>
                <w:bCs/>
                <w:i/>
                <w:iCs/>
                <w:color w:val="000000"/>
                <w:sz w:val="15"/>
                <w:szCs w:val="15"/>
                <w:lang w:val="de-DE" w:eastAsia="de-DE"/>
              </w:rPr>
            </w:pPr>
            <w:r w:rsidRPr="00243E2C">
              <w:rPr>
                <w:rFonts w:eastAsia="Times New Roman"/>
                <w:b/>
                <w:bCs/>
                <w:i/>
                <w:iCs/>
                <w:color w:val="000000"/>
                <w:sz w:val="15"/>
                <w:szCs w:val="15"/>
                <w:lang w:val="de-DE" w:eastAsia="de-DE"/>
              </w:rPr>
              <w:t>HH</w:t>
            </w:r>
          </w:p>
        </w:tc>
        <w:tc>
          <w:tcPr>
            <w:tcW w:w="25pt" w:type="dxa"/>
            <w:tcBorders>
              <w:top w:val="single" w:sz="4" w:space="0" w:color="auto"/>
              <w:start w:val="nil"/>
              <w:bottom w:val="single" w:sz="4" w:space="0" w:color="auto"/>
              <w:end w:val="single" w:sz="4" w:space="0" w:color="auto"/>
            </w:tcBorders>
            <w:shd w:val="clear" w:color="auto" w:fill="auto"/>
            <w:vAlign w:val="center"/>
            <w:hideMark/>
          </w:tcPr>
          <w:p w:rsidR="00243E2C" w:rsidRPr="00243E2C" w:rsidRDefault="00243E2C" w:rsidP="00243E2C">
            <w:pPr>
              <w:rPr>
                <w:rFonts w:eastAsia="Times New Roman"/>
                <w:b/>
                <w:bCs/>
                <w:i/>
                <w:iCs/>
                <w:color w:val="000000"/>
                <w:sz w:val="15"/>
                <w:szCs w:val="15"/>
                <w:lang w:val="de-DE" w:eastAsia="de-DE"/>
              </w:rPr>
            </w:pPr>
            <w:r w:rsidRPr="00243E2C">
              <w:rPr>
                <w:rFonts w:eastAsia="Times New Roman"/>
                <w:b/>
                <w:bCs/>
                <w:i/>
                <w:iCs/>
                <w:color w:val="000000"/>
                <w:sz w:val="15"/>
                <w:szCs w:val="15"/>
                <w:lang w:eastAsia="de-DE"/>
              </w:rPr>
              <w:t>LL</w:t>
            </w:r>
          </w:p>
        </w:tc>
      </w:tr>
      <w:tr w:rsidR="00243E2C" w:rsidRPr="00243E2C" w:rsidTr="00243E2C">
        <w:trPr>
          <w:trHeight w:val="300"/>
        </w:trPr>
        <w:tc>
          <w:tcPr>
            <w:tcW w:w="47pt" w:type="dxa"/>
            <w:tcBorders>
              <w:top w:val="nil"/>
              <w:start w:val="single" w:sz="4" w:space="0" w:color="auto"/>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eastAsia="de-DE"/>
              </w:rPr>
              <w:t>VDD [V]</w:t>
            </w:r>
          </w:p>
        </w:tc>
        <w:tc>
          <w:tcPr>
            <w:tcW w:w="21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1</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1</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1.1</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0.9</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1</w:t>
            </w:r>
          </w:p>
        </w:tc>
        <w:tc>
          <w:tcPr>
            <w:tcW w:w="25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rPr>
                <w:rFonts w:eastAsia="Times New Roman"/>
                <w:color w:val="000000"/>
                <w:sz w:val="16"/>
                <w:szCs w:val="16"/>
                <w:lang w:val="de-DE" w:eastAsia="de-DE"/>
              </w:rPr>
            </w:pPr>
            <w:r w:rsidRPr="00243E2C">
              <w:rPr>
                <w:rFonts w:eastAsia="Times New Roman"/>
                <w:color w:val="000000"/>
                <w:sz w:val="16"/>
                <w:szCs w:val="16"/>
                <w:lang w:eastAsia="de-DE"/>
              </w:rPr>
              <w:t>1</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rPr>
                <w:rFonts w:eastAsia="Times New Roman"/>
                <w:color w:val="000000"/>
                <w:sz w:val="16"/>
                <w:szCs w:val="16"/>
                <w:lang w:val="de-DE" w:eastAsia="de-DE"/>
              </w:rPr>
            </w:pPr>
            <w:r w:rsidRPr="00243E2C">
              <w:rPr>
                <w:rFonts w:eastAsia="Times New Roman"/>
                <w:color w:val="000000"/>
                <w:sz w:val="16"/>
                <w:szCs w:val="16"/>
                <w:lang w:val="de-DE" w:eastAsia="de-DE"/>
              </w:rPr>
              <w:t>1</w:t>
            </w:r>
          </w:p>
        </w:tc>
        <w:tc>
          <w:tcPr>
            <w:tcW w:w="25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rPr>
                <w:rFonts w:eastAsia="Times New Roman"/>
                <w:color w:val="000000"/>
                <w:sz w:val="16"/>
                <w:szCs w:val="16"/>
                <w:lang w:val="de-DE" w:eastAsia="de-DE"/>
              </w:rPr>
            </w:pPr>
            <w:r w:rsidRPr="00243E2C">
              <w:rPr>
                <w:rFonts w:eastAsia="Times New Roman"/>
                <w:color w:val="000000"/>
                <w:sz w:val="16"/>
                <w:szCs w:val="16"/>
                <w:lang w:eastAsia="de-DE"/>
              </w:rPr>
              <w:t>1</w:t>
            </w:r>
          </w:p>
        </w:tc>
      </w:tr>
      <w:tr w:rsidR="00243E2C" w:rsidRPr="00243E2C" w:rsidTr="00243E2C">
        <w:trPr>
          <w:trHeight w:val="300"/>
        </w:trPr>
        <w:tc>
          <w:tcPr>
            <w:tcW w:w="47pt" w:type="dxa"/>
            <w:tcBorders>
              <w:top w:val="nil"/>
              <w:start w:val="single" w:sz="4" w:space="0" w:color="auto"/>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eastAsia="de-DE"/>
              </w:rPr>
              <w:t>Temp [°C]</w:t>
            </w:r>
          </w:p>
        </w:tc>
        <w:tc>
          <w:tcPr>
            <w:tcW w:w="21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25</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25</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25</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25</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90</w:t>
            </w:r>
          </w:p>
        </w:tc>
        <w:tc>
          <w:tcPr>
            <w:tcW w:w="25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rPr>
                <w:rFonts w:eastAsia="Times New Roman"/>
                <w:color w:val="000000"/>
                <w:sz w:val="16"/>
                <w:szCs w:val="16"/>
                <w:lang w:val="de-DE" w:eastAsia="de-DE"/>
              </w:rPr>
            </w:pPr>
            <w:r w:rsidRPr="00243E2C">
              <w:rPr>
                <w:rFonts w:eastAsia="Times New Roman"/>
                <w:color w:val="000000"/>
                <w:sz w:val="16"/>
                <w:szCs w:val="16"/>
                <w:lang w:eastAsia="de-DE"/>
              </w:rPr>
              <w:t>-10</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rPr>
                <w:rFonts w:eastAsia="Times New Roman"/>
                <w:color w:val="000000"/>
                <w:sz w:val="16"/>
                <w:szCs w:val="16"/>
                <w:lang w:val="de-DE" w:eastAsia="de-DE"/>
              </w:rPr>
            </w:pPr>
            <w:r w:rsidRPr="00243E2C">
              <w:rPr>
                <w:rFonts w:eastAsia="Times New Roman"/>
                <w:color w:val="000000"/>
                <w:sz w:val="16"/>
                <w:szCs w:val="16"/>
                <w:lang w:val="de-DE" w:eastAsia="de-DE"/>
              </w:rPr>
              <w:t>25</w:t>
            </w:r>
          </w:p>
        </w:tc>
        <w:tc>
          <w:tcPr>
            <w:tcW w:w="25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rPr>
                <w:rFonts w:eastAsia="Times New Roman"/>
                <w:color w:val="000000"/>
                <w:sz w:val="16"/>
                <w:szCs w:val="16"/>
                <w:lang w:val="de-DE" w:eastAsia="de-DE"/>
              </w:rPr>
            </w:pPr>
            <w:r w:rsidRPr="00243E2C">
              <w:rPr>
                <w:rFonts w:eastAsia="Times New Roman"/>
                <w:color w:val="000000"/>
                <w:sz w:val="16"/>
                <w:szCs w:val="16"/>
                <w:lang w:eastAsia="de-DE"/>
              </w:rPr>
              <w:t>25</w:t>
            </w:r>
          </w:p>
        </w:tc>
      </w:tr>
      <w:tr w:rsidR="00243E2C" w:rsidRPr="00243E2C" w:rsidTr="00243E2C">
        <w:trPr>
          <w:trHeight w:val="300"/>
        </w:trPr>
        <w:tc>
          <w:tcPr>
            <w:tcW w:w="47pt" w:type="dxa"/>
            <w:tcBorders>
              <w:top w:val="nil"/>
              <w:start w:val="single" w:sz="4" w:space="0" w:color="auto"/>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proofErr w:type="spellStart"/>
            <w:r w:rsidRPr="00243E2C">
              <w:rPr>
                <w:rFonts w:eastAsia="Times New Roman"/>
                <w:color w:val="000000"/>
                <w:sz w:val="16"/>
                <w:szCs w:val="16"/>
                <w:lang w:eastAsia="de-DE"/>
              </w:rPr>
              <w:t>Vthn</w:t>
            </w:r>
            <w:proofErr w:type="spellEnd"/>
            <w:r w:rsidRPr="00243E2C">
              <w:rPr>
                <w:rFonts w:eastAsia="Times New Roman"/>
                <w:color w:val="000000"/>
                <w:sz w:val="16"/>
                <w:szCs w:val="16"/>
                <w:lang w:eastAsia="de-DE"/>
              </w:rPr>
              <w:t xml:space="preserve"> [V]</w:t>
            </w:r>
          </w:p>
        </w:tc>
        <w:tc>
          <w:tcPr>
            <w:tcW w:w="21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0.2</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0.21</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0.21</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0.21</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0.21</w:t>
            </w:r>
          </w:p>
        </w:tc>
        <w:tc>
          <w:tcPr>
            <w:tcW w:w="25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0.21</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rPr>
                <w:rFonts w:eastAsia="Times New Roman"/>
                <w:color w:val="000000"/>
                <w:sz w:val="16"/>
                <w:szCs w:val="16"/>
                <w:lang w:val="de-DE" w:eastAsia="de-DE"/>
              </w:rPr>
            </w:pPr>
            <w:r w:rsidRPr="00243E2C">
              <w:rPr>
                <w:rFonts w:eastAsia="Times New Roman"/>
                <w:color w:val="000000"/>
                <w:sz w:val="16"/>
                <w:szCs w:val="16"/>
                <w:lang w:val="de-DE" w:eastAsia="de-DE"/>
              </w:rPr>
              <w:t>0.28</w:t>
            </w:r>
          </w:p>
        </w:tc>
        <w:tc>
          <w:tcPr>
            <w:tcW w:w="25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rPr>
                <w:rFonts w:eastAsia="Times New Roman"/>
                <w:color w:val="000000"/>
                <w:sz w:val="16"/>
                <w:szCs w:val="16"/>
                <w:lang w:val="de-DE" w:eastAsia="de-DE"/>
              </w:rPr>
            </w:pPr>
            <w:r w:rsidRPr="00243E2C">
              <w:rPr>
                <w:rFonts w:eastAsia="Times New Roman"/>
                <w:color w:val="000000"/>
                <w:sz w:val="16"/>
                <w:szCs w:val="16"/>
                <w:lang w:eastAsia="de-DE"/>
              </w:rPr>
              <w:t>0.14</w:t>
            </w:r>
          </w:p>
        </w:tc>
      </w:tr>
      <w:tr w:rsidR="00243E2C" w:rsidRPr="00243E2C" w:rsidTr="00243E2C">
        <w:trPr>
          <w:trHeight w:val="300"/>
        </w:trPr>
        <w:tc>
          <w:tcPr>
            <w:tcW w:w="47pt" w:type="dxa"/>
            <w:tcBorders>
              <w:top w:val="nil"/>
              <w:start w:val="single" w:sz="4" w:space="0" w:color="auto"/>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proofErr w:type="spellStart"/>
            <w:r w:rsidRPr="00243E2C">
              <w:rPr>
                <w:rFonts w:eastAsia="Times New Roman"/>
                <w:color w:val="000000"/>
                <w:sz w:val="16"/>
                <w:szCs w:val="16"/>
                <w:lang w:eastAsia="de-DE"/>
              </w:rPr>
              <w:t>Vthp</w:t>
            </w:r>
            <w:proofErr w:type="spellEnd"/>
            <w:r w:rsidRPr="00243E2C">
              <w:rPr>
                <w:rFonts w:eastAsia="Times New Roman"/>
                <w:color w:val="000000"/>
                <w:sz w:val="16"/>
                <w:szCs w:val="16"/>
                <w:lang w:eastAsia="de-DE"/>
              </w:rPr>
              <w:t xml:space="preserve"> [V]</w:t>
            </w:r>
          </w:p>
        </w:tc>
        <w:tc>
          <w:tcPr>
            <w:tcW w:w="21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0.2</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0.21</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0.21</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0.21</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0.21</w:t>
            </w:r>
          </w:p>
        </w:tc>
        <w:tc>
          <w:tcPr>
            <w:tcW w:w="25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0.21</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rPr>
                <w:rFonts w:eastAsia="Times New Roman"/>
                <w:color w:val="000000"/>
                <w:sz w:val="16"/>
                <w:szCs w:val="16"/>
                <w:lang w:val="de-DE" w:eastAsia="de-DE"/>
              </w:rPr>
            </w:pPr>
            <w:r w:rsidRPr="00243E2C">
              <w:rPr>
                <w:rFonts w:eastAsia="Times New Roman"/>
                <w:color w:val="000000"/>
                <w:sz w:val="16"/>
                <w:szCs w:val="16"/>
                <w:lang w:val="de-DE" w:eastAsia="de-DE"/>
              </w:rPr>
              <w:t>-0.28</w:t>
            </w:r>
          </w:p>
        </w:tc>
        <w:tc>
          <w:tcPr>
            <w:tcW w:w="25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rPr>
                <w:rFonts w:eastAsia="Times New Roman"/>
                <w:color w:val="000000"/>
                <w:sz w:val="16"/>
                <w:szCs w:val="16"/>
                <w:lang w:val="de-DE" w:eastAsia="de-DE"/>
              </w:rPr>
            </w:pPr>
            <w:r w:rsidRPr="00243E2C">
              <w:rPr>
                <w:rFonts w:eastAsia="Times New Roman"/>
                <w:color w:val="000000"/>
                <w:sz w:val="16"/>
                <w:szCs w:val="16"/>
                <w:lang w:eastAsia="de-DE"/>
              </w:rPr>
              <w:t>-0.14</w:t>
            </w:r>
          </w:p>
        </w:tc>
      </w:tr>
      <w:tr w:rsidR="00243E2C" w:rsidRPr="00243E2C" w:rsidTr="00243E2C">
        <w:trPr>
          <w:trHeight w:val="300"/>
        </w:trPr>
        <w:tc>
          <w:tcPr>
            <w:tcW w:w="47pt" w:type="dxa"/>
            <w:tcBorders>
              <w:top w:val="nil"/>
              <w:start w:val="single" w:sz="4" w:space="0" w:color="auto"/>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proofErr w:type="spellStart"/>
            <w:r w:rsidRPr="00243E2C">
              <w:rPr>
                <w:rFonts w:eastAsia="Times New Roman"/>
                <w:color w:val="000000"/>
                <w:sz w:val="16"/>
                <w:szCs w:val="16"/>
                <w:lang w:eastAsia="de-DE"/>
              </w:rPr>
              <w:t>tDelay</w:t>
            </w:r>
            <w:proofErr w:type="spellEnd"/>
            <w:r w:rsidRPr="00243E2C">
              <w:rPr>
                <w:rFonts w:eastAsia="Times New Roman"/>
                <w:color w:val="000000"/>
                <w:sz w:val="16"/>
                <w:szCs w:val="16"/>
                <w:lang w:eastAsia="de-DE"/>
              </w:rPr>
              <w:t xml:space="preserve"> [</w:t>
            </w:r>
            <w:proofErr w:type="spellStart"/>
            <w:r w:rsidRPr="00243E2C">
              <w:rPr>
                <w:rFonts w:eastAsia="Times New Roman"/>
                <w:color w:val="000000"/>
                <w:sz w:val="16"/>
                <w:szCs w:val="16"/>
                <w:lang w:eastAsia="de-DE"/>
              </w:rPr>
              <w:t>ps</w:t>
            </w:r>
            <w:proofErr w:type="spellEnd"/>
            <w:r w:rsidRPr="00243E2C">
              <w:rPr>
                <w:rFonts w:eastAsia="Times New Roman"/>
                <w:color w:val="000000"/>
                <w:sz w:val="16"/>
                <w:szCs w:val="16"/>
                <w:lang w:eastAsia="de-DE"/>
              </w:rPr>
              <w:t>]</w:t>
            </w:r>
          </w:p>
        </w:tc>
        <w:tc>
          <w:tcPr>
            <w:tcW w:w="21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220</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250</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220</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280</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260</w:t>
            </w:r>
          </w:p>
        </w:tc>
        <w:tc>
          <w:tcPr>
            <w:tcW w:w="25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rPr>
                <w:rFonts w:eastAsia="Times New Roman"/>
                <w:color w:val="000000"/>
                <w:sz w:val="16"/>
                <w:szCs w:val="16"/>
                <w:lang w:val="de-DE" w:eastAsia="de-DE"/>
              </w:rPr>
            </w:pPr>
            <w:r w:rsidRPr="00243E2C">
              <w:rPr>
                <w:rFonts w:eastAsia="Times New Roman"/>
                <w:color w:val="000000"/>
                <w:sz w:val="16"/>
                <w:szCs w:val="16"/>
                <w:lang w:eastAsia="de-DE"/>
              </w:rPr>
              <w:t>250</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rPr>
                <w:rFonts w:eastAsia="Times New Roman"/>
                <w:color w:val="000000"/>
                <w:sz w:val="16"/>
                <w:szCs w:val="16"/>
                <w:lang w:val="de-DE" w:eastAsia="de-DE"/>
              </w:rPr>
            </w:pPr>
            <w:r w:rsidRPr="00243E2C">
              <w:rPr>
                <w:rFonts w:eastAsia="Times New Roman"/>
                <w:color w:val="000000"/>
                <w:sz w:val="16"/>
                <w:szCs w:val="16"/>
                <w:lang w:val="de-DE" w:eastAsia="de-DE"/>
              </w:rPr>
              <w:t>320</w:t>
            </w:r>
          </w:p>
        </w:tc>
        <w:tc>
          <w:tcPr>
            <w:tcW w:w="25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rPr>
                <w:rFonts w:eastAsia="Times New Roman"/>
                <w:color w:val="000000"/>
                <w:sz w:val="16"/>
                <w:szCs w:val="16"/>
                <w:lang w:val="de-DE" w:eastAsia="de-DE"/>
              </w:rPr>
            </w:pPr>
            <w:r w:rsidRPr="00243E2C">
              <w:rPr>
                <w:rFonts w:eastAsia="Times New Roman"/>
                <w:color w:val="000000"/>
                <w:sz w:val="16"/>
                <w:szCs w:val="16"/>
                <w:lang w:eastAsia="de-DE"/>
              </w:rPr>
              <w:t>180</w:t>
            </w:r>
          </w:p>
        </w:tc>
      </w:tr>
    </w:tbl>
    <w:p w:rsidR="008E58C9" w:rsidRDefault="008E58C9" w:rsidP="008E58C9">
      <w:pPr>
        <w:pStyle w:val="berschrift1"/>
      </w:pPr>
      <w:r>
        <w:t>Summary</w:t>
      </w:r>
      <w:r w:rsidR="006635CF">
        <w:t xml:space="preserve"> (</w:t>
      </w:r>
      <w:r w:rsidR="00D0094C">
        <w:t xml:space="preserve">Results and </w:t>
      </w:r>
      <w:r w:rsidR="006635CF">
        <w:t>LEARNING OUTCOME)</w:t>
      </w:r>
    </w:p>
    <w:p w:rsidR="006635CF" w:rsidRDefault="00133D39" w:rsidP="00133D39">
      <w:pPr>
        <w:pStyle w:val="Textkrper"/>
        <w:rPr>
          <w:lang w:val="en-US"/>
        </w:rPr>
      </w:pPr>
      <w:r>
        <w:rPr>
          <w:lang w:val="en-US"/>
        </w:rPr>
        <w:t xml:space="preserve">The laboratory could be concluded in </w:t>
      </w:r>
      <w:proofErr w:type="gramStart"/>
      <w:r>
        <w:rPr>
          <w:lang w:val="en-US"/>
        </w:rPr>
        <w:t>2</w:t>
      </w:r>
      <w:proofErr w:type="gramEnd"/>
      <w:r>
        <w:rPr>
          <w:lang w:val="en-US"/>
        </w:rPr>
        <w:t xml:space="preserve"> laboratory sessions and 2h additional work writing this report.</w:t>
      </w:r>
      <w:r w:rsidR="00C415C3">
        <w:rPr>
          <w:lang w:val="en-US"/>
        </w:rPr>
        <w:t xml:space="preserve"> </w:t>
      </w:r>
      <w:r w:rsidR="003755BA">
        <w:rPr>
          <w:lang w:val="en-US"/>
        </w:rPr>
        <w:t xml:space="preserve">The importance of automation and extensive simulations </w:t>
      </w:r>
      <w:proofErr w:type="gramStart"/>
      <w:r w:rsidR="003755BA">
        <w:rPr>
          <w:lang w:val="en-US"/>
        </w:rPr>
        <w:t>was seen</w:t>
      </w:r>
      <w:proofErr w:type="gramEnd"/>
      <w:r w:rsidR="003755BA">
        <w:rPr>
          <w:lang w:val="en-US"/>
        </w:rPr>
        <w:t>.</w:t>
      </w:r>
      <w:r w:rsidR="002B230D">
        <w:rPr>
          <w:lang w:val="en-US"/>
        </w:rPr>
        <w:t xml:space="preserve"> A better understanding of relationship of delay, supply voltage, temperature and threshold </w:t>
      </w:r>
      <w:proofErr w:type="gramStart"/>
      <w:r w:rsidR="002B230D">
        <w:rPr>
          <w:lang w:val="en-US"/>
        </w:rPr>
        <w:t xml:space="preserve">voltage </w:t>
      </w:r>
      <w:r w:rsidR="003755BA">
        <w:rPr>
          <w:lang w:val="en-US"/>
        </w:rPr>
        <w:t xml:space="preserve"> </w:t>
      </w:r>
      <w:r w:rsidR="002B230D">
        <w:rPr>
          <w:lang w:val="en-US"/>
        </w:rPr>
        <w:t>was</w:t>
      </w:r>
      <w:proofErr w:type="gramEnd"/>
      <w:r w:rsidR="002B230D">
        <w:rPr>
          <w:lang w:val="en-US"/>
        </w:rPr>
        <w:t xml:space="preserve"> gained.</w:t>
      </w:r>
    </w:p>
    <w:p w:rsidR="009303D9" w:rsidRPr="005B520E" w:rsidRDefault="009303D9" w:rsidP="008E58C9">
      <w:pPr>
        <w:pStyle w:val="berschrift5"/>
      </w:pPr>
      <w:r w:rsidRPr="005B520E">
        <w:t>References</w:t>
      </w:r>
    </w:p>
    <w:p w:rsidR="000B391B" w:rsidRPr="00D07F9A" w:rsidRDefault="00243E2C" w:rsidP="000B391B">
      <w:pPr>
        <w:pStyle w:val="references"/>
      </w:pPr>
      <w:r>
        <w:t>Laboratory 05 Microelectronics, Joerg Vollrath</w:t>
      </w:r>
      <w:r w:rsidR="006678AC">
        <w:t xml:space="preserve">, </w:t>
      </w:r>
      <w:r w:rsidRPr="00243E2C">
        <w:t>https://personalpages.hs-kempten.de/~vollratj/Microelectronics/2016_04_20_Micro_</w:t>
      </w:r>
      <w:r w:rsidR="000B391B">
        <w:t>Lab05_Parasitics_Variations.html</w:t>
      </w:r>
    </w:p>
    <w:p w:rsidR="000B391B" w:rsidRDefault="000B391B" w:rsidP="000B391B">
      <w:pPr>
        <w:pStyle w:val="references"/>
        <w:numPr>
          <w:ilvl w:val="0"/>
          <w:numId w:val="0"/>
        </w:numPr>
      </w:pPr>
      <w:r>
        <w:rPr>
          <w:lang w:val="de-DE" w:eastAsia="de-DE"/>
        </w:rPr>
        <w:lastRenderedPageBreak/>
        <w:drawing>
          <wp:anchor distT="0" distB="0" distL="114300" distR="114300" simplePos="0" relativeHeight="251660288" behindDoc="0" locked="0" layoutInCell="1" allowOverlap="1" wp14:anchorId="5EA2F6A6" wp14:editId="2CDD3837">
            <wp:simplePos x="0" y="0"/>
            <wp:positionH relativeFrom="column">
              <wp:posOffset>-20320</wp:posOffset>
            </wp:positionH>
            <wp:positionV relativeFrom="paragraph">
              <wp:posOffset>45085</wp:posOffset>
            </wp:positionV>
            <wp:extent cx="1052830" cy="1570355"/>
            <wp:effectExtent l="0" t="0" r="0" b="0"/>
            <wp:wrapSquare wrapText="bothSides"/>
            <wp:docPr id="21" name="Bild 10" descr="Vollrath_Jörg__201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0" descr="Vollrath_Jörg__2012"/>
                    <pic:cNvPicPr>
                      <a:picLocks noChangeAspect="1" noChangeArrowheads="1"/>
                    </pic:cNvPicPr>
                  </pic:nvPicPr>
                  <pic:blipFill>
                    <a:blip r:embed="rId15"/>
                    <a:srcRect/>
                    <a:stretch>
                      <a:fillRect/>
                    </a:stretch>
                  </pic:blipFill>
                  <pic:spPr bwMode="auto">
                    <a:xfrm>
                      <a:off x="0" y="0"/>
                      <a:ext cx="1052830" cy="1570355"/>
                    </a:xfrm>
                    <a:prstGeom prst="rect">
                      <a:avLst/>
                    </a:prstGeom>
                    <a:noFill/>
                    <a:ln w="9525">
                      <a:noFill/>
                      <a:miter lim="800%"/>
                      <a:headEnd/>
                      <a:tailEnd/>
                    </a:ln>
                  </pic:spPr>
                </pic:pic>
              </a:graphicData>
            </a:graphic>
            <wp14:sizeRelH relativeFrom="margin">
              <wp14:pctWidth>0%</wp14:pctWidth>
            </wp14:sizeRelH>
            <wp14:sizeRelV relativeFrom="margin">
              <wp14:pctHeight>0%</wp14:pctHeight>
            </wp14:sizeRelV>
          </wp:anchor>
        </w:drawing>
      </w:r>
      <w:r w:rsidRPr="00F37797">
        <w:rPr>
          <w:snapToGrid w:val="0"/>
          <w:lang w:eastAsia="de-DE"/>
        </w:rPr>
        <w:t>Dr. Ing. Joerg E. Vollrath received 1989 his Dipl. Ing. and 1994 his Ph. D. in electrical engineering, semiconductor technology at the University of  Darmstadt, Germany. Since then he worked for the memory division of Siemens and Infineon Technologies and Qimonda in various locations in the USA and Germany. He is now a Professor for Electronics at the University of Applied Science, Kempten, Germany. His expertise and interest lies in the field of design of analog and digital circuits, programmable logic, test, characterization, yield, manufacturing and reliability. He has published 22 papers and has currently 23 patents.</w:t>
      </w:r>
    </w:p>
    <w:p w:rsidR="000B391B" w:rsidRPr="006678AC" w:rsidRDefault="000B391B" w:rsidP="000B391B">
      <w:pPr>
        <w:pStyle w:val="references"/>
        <w:numPr>
          <w:ilvl w:val="0"/>
          <w:numId w:val="0"/>
        </w:numPr>
        <w:ind w:start="18pt" w:hanging="18pt"/>
        <w:sectPr w:rsidR="000B391B" w:rsidRPr="006678AC" w:rsidSect="003B4E04">
          <w:type w:val="continuous"/>
          <w:pgSz w:w="595.30pt" w:h="841.90pt" w:code="9"/>
          <w:pgMar w:top="54pt" w:right="45.35pt" w:bottom="72pt" w:left="45.35pt" w:header="36pt" w:footer="36pt" w:gutter="0pt"/>
          <w:cols w:num="2" w:space="18pt"/>
          <w:docGrid w:linePitch="360"/>
        </w:sectPr>
      </w:pPr>
    </w:p>
    <w:p w:rsidR="009303D9" w:rsidRDefault="009303D9" w:rsidP="000B391B">
      <w:pPr>
        <w:jc w:val="both"/>
      </w:pPr>
    </w:p>
    <w:sectPr w:rsidR="009303D9" w:rsidSect="003B4E04">
      <w:type w:val="continuous"/>
      <w:pgSz w:w="595.30pt" w:h="841.90pt" w:code="9"/>
      <w:pgMar w:top="54pt" w:right="44.65pt" w:bottom="72pt" w:left="44.65pt" w:header="36pt" w:footer="36pt" w:gutter="0pt"/>
      <w:cols w:space="36pt"/>
      <w:docGrid w:linePitch="360"/>
    </w:sectPr>
  </w:body>
</w:document>
</file>

<file path=word/endnotes.xml><?xml version="1.0" encoding="utf-8"?>
<w:endnotes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endnote w:type="separator" w:id="-1">
    <w:p w:rsidR="00451CEB" w:rsidRDefault="00451CEB" w:rsidP="001A3B3D">
      <w:r>
        <w:separator/>
      </w:r>
    </w:p>
  </w:endnote>
  <w:endnote w:type="continuationSeparator" w:id="0">
    <w:p w:rsidR="00451CEB" w:rsidRDefault="00451CEB"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se="http://schemas.microsoft.com/office/word/2015/wordml/symex" mc:Ignorable="w14 w15 w16se">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003" w:usb1="288F0000" w:usb2="00000016" w:usb3="00000000" w:csb0="00040001" w:csb1="00000000"/>
  </w:font>
  <w:font w:name="MS Mincho">
    <w:altName w:val="ＭＳ 明朝"/>
    <w:panose1 w:val="02020609040205080304"/>
    <w:charset w:characterSet="shift_jis"/>
    <w:family w:val="roman"/>
    <w:pitch w:val="fixed"/>
    <w:sig w:usb0="00000001" w:usb1="08070000" w:usb2="00000010" w:usb3="00000000" w:csb0="00020000" w:csb1="00000000"/>
  </w:font>
  <w:font w:name="Calibri Light">
    <w:panose1 w:val="020F0302020204030204"/>
    <w:charset w:characterSet="iso-8859-1"/>
    <w:family w:val="swiss"/>
    <w:pitch w:val="variable"/>
    <w:sig w:usb0="E4002EFF" w:usb1="C000247B" w:usb2="00000009" w:usb3="00000000" w:csb0="000001FF" w:csb1="00000000"/>
  </w:font>
  <w:font w:name="Calibri">
    <w:panose1 w:val="020F0502020204030204"/>
    <w:charset w:characterSet="iso-8859-1"/>
    <w:family w:val="swiss"/>
    <w:pitch w:val="variable"/>
    <w:sig w:usb0="E4002EFF" w:usb1="C000247B" w:usb2="00000009" w:usb3="00000000" w:csb0="000001FF" w:csb1="00000000"/>
  </w:font>
</w:fonts>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rsidR="005C680F" w:rsidRPr="006F6D3D" w:rsidRDefault="005C680F" w:rsidP="0056610F">
    <w:pPr>
      <w:pStyle w:val="Fuzeile"/>
      <w:jc w:val="start"/>
      <w:rPr>
        <w:sz w:val="16"/>
        <w:szCs w:val="16"/>
      </w:rPr>
    </w:pPr>
    <w:r w:rsidRPr="006F6D3D">
      <w:rPr>
        <w:sz w:val="16"/>
        <w:szCs w:val="16"/>
      </w:rPr>
      <w:t>XXX-X-XXXX-XXXX-X/XX/$XX.00 ©20XX IEEE</w:t>
    </w:r>
  </w:p>
</w:ftr>
</file>

<file path=word/footnotes.xml><?xml version="1.0" encoding="utf-8"?>
<w:footnotes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footnote w:type="separator" w:id="-1">
    <w:p w:rsidR="00451CEB" w:rsidRDefault="00451CEB" w:rsidP="001A3B3D">
      <w:r>
        <w:separator/>
      </w:r>
    </w:p>
  </w:footnote>
  <w:footnote w:type="continuationSeparator" w:id="0">
    <w:p w:rsidR="00451CEB" w:rsidRDefault="00451CEB" w:rsidP="001A3B3D">
      <w:r>
        <w:continuationSeparator/>
      </w:r>
    </w:p>
  </w:footnote>
</w:footnotes>
</file>

<file path=word/numbering.xml><?xml version="1.0" encoding="utf-8"?>
<w:numbering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2"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6" w15:restartNumberingAfterBreak="0">
    <w:nsid w:val="4189603E"/>
    <w:multiLevelType w:val="multilevel"/>
    <w:tmpl w:val="0AB06E12"/>
    <w:lvl w:ilvl="0">
      <w:start w:val="1"/>
      <w:numFmt w:val="upperRoman"/>
      <w:pStyle w:val="berschrift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berschrift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erschrift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berschrift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17"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8"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19"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0"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abstractNumId w:val="14"/>
  </w:num>
  <w:num w:numId="2">
    <w:abstractNumId w:val="19"/>
  </w:num>
  <w:num w:numId="3">
    <w:abstractNumId w:val="13"/>
  </w:num>
  <w:num w:numId="4">
    <w:abstractNumId w:val="16"/>
  </w:num>
  <w:num w:numId="5">
    <w:abstractNumId w:val="16"/>
  </w:num>
  <w:num w:numId="6">
    <w:abstractNumId w:val="16"/>
  </w:num>
  <w:num w:numId="7">
    <w:abstractNumId w:val="16"/>
  </w:num>
  <w:num w:numId="8">
    <w:abstractNumId w:val="18"/>
  </w:num>
  <w:num w:numId="9">
    <w:abstractNumId w:val="20"/>
  </w:num>
  <w:num w:numId="10">
    <w:abstractNumId w:val="15"/>
  </w:num>
  <w:num w:numId="11">
    <w:abstractNumId w:val="12"/>
  </w:num>
  <w:num w:numId="12">
    <w:abstractNumId w:val="11"/>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7"/>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se="http://schemas.microsoft.com/office/word/2015/wordml/symex" xmlns:sl="http://schemas.openxmlformats.org/schemaLibrary/2006/main" mc:Ignorable="w14 w15 w16se">
  <w:zoom w:val="bestFit" w:percent="93%"/>
  <w:embedSystemFonts/>
  <w:proofState w:spelling="clean" w:grammar="clean"/>
  <w:defaultTabStop w:val="36pt"/>
  <w:hyphenationZone w:val="21.25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D9"/>
    <w:rsid w:val="0004781E"/>
    <w:rsid w:val="0008758A"/>
    <w:rsid w:val="000B391B"/>
    <w:rsid w:val="000C1E68"/>
    <w:rsid w:val="000C6270"/>
    <w:rsid w:val="00133D39"/>
    <w:rsid w:val="001A2EFD"/>
    <w:rsid w:val="001A3B3D"/>
    <w:rsid w:val="001B67DC"/>
    <w:rsid w:val="002254A9"/>
    <w:rsid w:val="00233D97"/>
    <w:rsid w:val="002347A2"/>
    <w:rsid w:val="00243E2C"/>
    <w:rsid w:val="002850E3"/>
    <w:rsid w:val="002B230D"/>
    <w:rsid w:val="002D1A66"/>
    <w:rsid w:val="00354FCF"/>
    <w:rsid w:val="003755BA"/>
    <w:rsid w:val="003A19E2"/>
    <w:rsid w:val="003B2B40"/>
    <w:rsid w:val="003B4E04"/>
    <w:rsid w:val="003E7B76"/>
    <w:rsid w:val="003F5A08"/>
    <w:rsid w:val="004037A2"/>
    <w:rsid w:val="00420716"/>
    <w:rsid w:val="004325FB"/>
    <w:rsid w:val="004432BA"/>
    <w:rsid w:val="0044407E"/>
    <w:rsid w:val="00447BB9"/>
    <w:rsid w:val="00451CEB"/>
    <w:rsid w:val="0046031D"/>
    <w:rsid w:val="00465137"/>
    <w:rsid w:val="00473AC9"/>
    <w:rsid w:val="004D72B5"/>
    <w:rsid w:val="004F03C0"/>
    <w:rsid w:val="004F4AAC"/>
    <w:rsid w:val="00506F90"/>
    <w:rsid w:val="00551B7F"/>
    <w:rsid w:val="0056610F"/>
    <w:rsid w:val="00575BCA"/>
    <w:rsid w:val="005A566E"/>
    <w:rsid w:val="005A794F"/>
    <w:rsid w:val="005B0344"/>
    <w:rsid w:val="005B520E"/>
    <w:rsid w:val="005B5E71"/>
    <w:rsid w:val="005C680F"/>
    <w:rsid w:val="005D7662"/>
    <w:rsid w:val="005E2800"/>
    <w:rsid w:val="00605825"/>
    <w:rsid w:val="00645D22"/>
    <w:rsid w:val="00651A08"/>
    <w:rsid w:val="00654204"/>
    <w:rsid w:val="00662483"/>
    <w:rsid w:val="006635CF"/>
    <w:rsid w:val="006678AC"/>
    <w:rsid w:val="00670434"/>
    <w:rsid w:val="006B6B66"/>
    <w:rsid w:val="006F6D3D"/>
    <w:rsid w:val="00715BEA"/>
    <w:rsid w:val="00740EEA"/>
    <w:rsid w:val="00794804"/>
    <w:rsid w:val="007B33F1"/>
    <w:rsid w:val="007B6DDA"/>
    <w:rsid w:val="007C0308"/>
    <w:rsid w:val="007C2FF2"/>
    <w:rsid w:val="007D6232"/>
    <w:rsid w:val="007E6A32"/>
    <w:rsid w:val="007F1F99"/>
    <w:rsid w:val="007F768F"/>
    <w:rsid w:val="0080791D"/>
    <w:rsid w:val="00836367"/>
    <w:rsid w:val="00873603"/>
    <w:rsid w:val="008A2C7D"/>
    <w:rsid w:val="008B6524"/>
    <w:rsid w:val="008C4B23"/>
    <w:rsid w:val="008E58C9"/>
    <w:rsid w:val="008F6E2C"/>
    <w:rsid w:val="0091602E"/>
    <w:rsid w:val="009303D9"/>
    <w:rsid w:val="00933C64"/>
    <w:rsid w:val="00972203"/>
    <w:rsid w:val="00983F63"/>
    <w:rsid w:val="009F1D79"/>
    <w:rsid w:val="00A059B3"/>
    <w:rsid w:val="00A60073"/>
    <w:rsid w:val="00AE3409"/>
    <w:rsid w:val="00B11A60"/>
    <w:rsid w:val="00B22613"/>
    <w:rsid w:val="00B44A76"/>
    <w:rsid w:val="00B768D1"/>
    <w:rsid w:val="00B8337D"/>
    <w:rsid w:val="00BA1025"/>
    <w:rsid w:val="00BC3420"/>
    <w:rsid w:val="00BD40D4"/>
    <w:rsid w:val="00BD670B"/>
    <w:rsid w:val="00BE7D3C"/>
    <w:rsid w:val="00BF5FF6"/>
    <w:rsid w:val="00C0207F"/>
    <w:rsid w:val="00C16117"/>
    <w:rsid w:val="00C3075A"/>
    <w:rsid w:val="00C415C3"/>
    <w:rsid w:val="00C61E99"/>
    <w:rsid w:val="00C919A4"/>
    <w:rsid w:val="00CA4392"/>
    <w:rsid w:val="00CC393F"/>
    <w:rsid w:val="00CC4358"/>
    <w:rsid w:val="00CD5EE5"/>
    <w:rsid w:val="00CF7CC1"/>
    <w:rsid w:val="00D0094C"/>
    <w:rsid w:val="00D17BCF"/>
    <w:rsid w:val="00D2176E"/>
    <w:rsid w:val="00D51640"/>
    <w:rsid w:val="00D632BE"/>
    <w:rsid w:val="00D72D06"/>
    <w:rsid w:val="00D7522C"/>
    <w:rsid w:val="00D7536F"/>
    <w:rsid w:val="00D76668"/>
    <w:rsid w:val="00E07383"/>
    <w:rsid w:val="00E165BC"/>
    <w:rsid w:val="00E61E12"/>
    <w:rsid w:val="00E64D33"/>
    <w:rsid w:val="00E7596C"/>
    <w:rsid w:val="00E878F2"/>
    <w:rsid w:val="00ED0149"/>
    <w:rsid w:val="00EF7DE3"/>
    <w:rsid w:val="00F03103"/>
    <w:rsid w:val="00F14AB2"/>
    <w:rsid w:val="00F271DE"/>
    <w:rsid w:val="00F627DA"/>
    <w:rsid w:val="00F7288F"/>
    <w:rsid w:val="00F847A6"/>
    <w:rsid w:val="00F9441B"/>
    <w:rsid w:val="00FA4C32"/>
    <w:rsid w:val="00FD522B"/>
    <w:rsid w:val="00FE7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E31D95F"/>
  <w15:chartTrackingRefBased/>
  <w15:docId w15:val="{024ECAD1-2323-4B9B-8C03-899AA7F9FF2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jc w:val="center"/>
    </w:pPr>
  </w:style>
  <w:style w:type="paragraph" w:styleId="berschrift1">
    <w:name w:val="heading 1"/>
    <w:basedOn w:val="Standard"/>
    <w:next w:val="Standard"/>
    <w:link w:val="berschrift1Zchn"/>
    <w:qFormat/>
    <w:rsid w:val="006B6B66"/>
    <w:pPr>
      <w:keepNext/>
      <w:keepLines/>
      <w:numPr>
        <w:numId w:val="4"/>
      </w:numPr>
      <w:tabs>
        <w:tab w:val="start" w:pos="10.80pt"/>
      </w:tabs>
      <w:spacing w:before="8pt" w:after="4pt"/>
      <w:ind w:firstLine="0pt"/>
      <w:outlineLvl w:val="0"/>
    </w:pPr>
    <w:rPr>
      <w:smallCaps/>
      <w:noProof/>
    </w:rPr>
  </w:style>
  <w:style w:type="paragraph" w:styleId="berschrift2">
    <w:name w:val="heading 2"/>
    <w:basedOn w:val="Standard"/>
    <w:next w:val="Standard"/>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berschrift3">
    <w:name w:val="heading 3"/>
    <w:basedOn w:val="Standard"/>
    <w:next w:val="Standard"/>
    <w:qFormat/>
    <w:rsid w:val="00794804"/>
    <w:pPr>
      <w:numPr>
        <w:ilvl w:val="2"/>
        <w:numId w:val="4"/>
      </w:numPr>
      <w:spacing w:line="12pt" w:lineRule="exact"/>
      <w:ind w:firstLine="14.40pt"/>
      <w:jc w:val="both"/>
      <w:outlineLvl w:val="2"/>
    </w:pPr>
    <w:rPr>
      <w:i/>
      <w:iCs/>
      <w:noProof/>
    </w:rPr>
  </w:style>
  <w:style w:type="paragraph" w:styleId="berschrift4">
    <w:name w:val="heading 4"/>
    <w:basedOn w:val="Standard"/>
    <w:next w:val="Standard"/>
    <w:link w:val="berschrift4Zchn"/>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berschrift5">
    <w:name w:val="heading 5"/>
    <w:basedOn w:val="Standard"/>
    <w:next w:val="Standard"/>
    <w:qFormat/>
    <w:pPr>
      <w:tabs>
        <w:tab w:val="start" w:pos="18pt"/>
      </w:tabs>
      <w:spacing w:before="8pt" w:after="4pt"/>
      <w:outlineLvl w:val="4"/>
    </w:pPr>
    <w:rPr>
      <w:smallCaps/>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pt" w:type="dxa"/>
      <w:tblCellMar>
        <w:top w:w="0pt" w:type="dxa"/>
        <w:start w:w="5.40pt" w:type="dxa"/>
        <w:bottom w:w="0pt" w:type="dxa"/>
        <w:end w:w="5.40pt" w:type="dxa"/>
      </w:tblCellMar>
    </w:tblPr>
  </w:style>
  <w:style w:type="numbering" w:default="1" w:styleId="KeineListe">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Textkrper">
    <w:name w:val="Body Text"/>
    <w:basedOn w:val="Standard"/>
    <w:link w:val="TextkrperZchn"/>
    <w:rsid w:val="00E7596C"/>
    <w:pPr>
      <w:tabs>
        <w:tab w:val="start" w:pos="14.40pt"/>
      </w:tabs>
      <w:spacing w:after="6pt" w:line="11.40pt" w:lineRule="auto"/>
      <w:ind w:firstLine="14.40pt"/>
      <w:jc w:val="both"/>
    </w:pPr>
    <w:rPr>
      <w:spacing w:val="-1"/>
      <w:lang w:val="x-none" w:eastAsia="x-none"/>
    </w:rPr>
  </w:style>
  <w:style w:type="character" w:customStyle="1" w:styleId="TextkrperZchn">
    <w:name w:val="Textkörper Zchn"/>
    <w:link w:val="Textkrper"/>
    <w:rsid w:val="00E7596C"/>
    <w:rPr>
      <w:spacing w:val="-1"/>
      <w:lang w:val="x-none" w:eastAsia="x-none"/>
    </w:rPr>
  </w:style>
  <w:style w:type="paragraph" w:customStyle="1" w:styleId="bulletlist">
    <w:name w:val="bullet list"/>
    <w:basedOn w:val="Textkrper"/>
    <w:rsid w:val="001B67DC"/>
    <w:pPr>
      <w:numPr>
        <w:numId w:val="1"/>
      </w:numPr>
      <w:tabs>
        <w:tab w:val="clear" w:pos="32.40pt"/>
      </w:tabs>
      <w:ind w:start="28.80pt" w:hanging="14.40pt"/>
    </w:pPr>
  </w:style>
  <w:style w:type="paragraph" w:customStyle="1" w:styleId="equation">
    <w:name w:val="equation"/>
    <w:basedOn w:val="Standard"/>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uiPriority w:val="99"/>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Standard"/>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Kopfzeile">
    <w:name w:val="header"/>
    <w:basedOn w:val="Standard"/>
    <w:link w:val="KopfzeileZchn"/>
    <w:rsid w:val="001A3B3D"/>
    <w:pPr>
      <w:tabs>
        <w:tab w:val="center" w:pos="234pt"/>
        <w:tab w:val="end" w:pos="468pt"/>
      </w:tabs>
    </w:pPr>
  </w:style>
  <w:style w:type="character" w:customStyle="1" w:styleId="KopfzeileZchn">
    <w:name w:val="Kopfzeile Zchn"/>
    <w:basedOn w:val="Absatz-Standardschriftart"/>
    <w:link w:val="Kopfzeile"/>
    <w:rsid w:val="001A3B3D"/>
  </w:style>
  <w:style w:type="paragraph" w:styleId="Fuzeile">
    <w:name w:val="footer"/>
    <w:basedOn w:val="Standard"/>
    <w:link w:val="FuzeileZchn"/>
    <w:rsid w:val="001A3B3D"/>
    <w:pPr>
      <w:tabs>
        <w:tab w:val="center" w:pos="234pt"/>
        <w:tab w:val="end" w:pos="468pt"/>
      </w:tabs>
    </w:pPr>
  </w:style>
  <w:style w:type="character" w:customStyle="1" w:styleId="FuzeileZchn">
    <w:name w:val="Fußzeile Zchn"/>
    <w:basedOn w:val="Absatz-Standardschriftart"/>
    <w:link w:val="Fuzeile"/>
    <w:rsid w:val="001A3B3D"/>
  </w:style>
  <w:style w:type="character" w:customStyle="1" w:styleId="berschrift1Zchn">
    <w:name w:val="Überschrift 1 Zchn"/>
    <w:basedOn w:val="Absatz-Standardschriftart"/>
    <w:link w:val="berschrift1"/>
    <w:rsid w:val="008E58C9"/>
    <w:rPr>
      <w:smallCaps/>
      <w:noProof/>
    </w:rPr>
  </w:style>
  <w:style w:type="character" w:customStyle="1" w:styleId="berschrift4Zchn">
    <w:name w:val="Überschrift 4 Zchn"/>
    <w:basedOn w:val="Absatz-Standardschriftart"/>
    <w:link w:val="berschrift4"/>
    <w:rsid w:val="008E58C9"/>
    <w:rPr>
      <w:i/>
      <w:iCs/>
      <w:noProof/>
    </w:rPr>
  </w:style>
  <w:style w:type="character" w:styleId="Hyperlink">
    <w:name w:val="Hyperlink"/>
    <w:basedOn w:val="Absatz-Standardschriftart"/>
    <w:rsid w:val="006678AC"/>
    <w:rPr>
      <w:color w:val="0563C1" w:themeColor="hyperlink"/>
      <w:u w:val="single"/>
    </w:rPr>
  </w:style>
  <w:style w:type="paragraph" w:styleId="HTMLVorformatiert">
    <w:name w:val="HTML Preformatted"/>
    <w:basedOn w:val="Standard"/>
    <w:link w:val="HTMLVorformatiertZchn"/>
    <w:uiPriority w:val="99"/>
    <w:unhideWhenUsed/>
    <w:rsid w:val="002D1A66"/>
    <w:pPr>
      <w:tabs>
        <w:tab w:val="start" w:pos="45.80pt"/>
        <w:tab w:val="start" w:pos="91.60pt"/>
        <w:tab w:val="start" w:pos="137.40pt"/>
        <w:tab w:val="start" w:pos="183.20pt"/>
        <w:tab w:val="start" w:pos="229pt"/>
        <w:tab w:val="start" w:pos="274.80pt"/>
        <w:tab w:val="start" w:pos="320.60pt"/>
        <w:tab w:val="start" w:pos="366.40pt"/>
        <w:tab w:val="start" w:pos="412.20pt"/>
        <w:tab w:val="start" w:pos="458pt"/>
        <w:tab w:val="start" w:pos="503.80pt"/>
        <w:tab w:val="start" w:pos="549.60pt"/>
        <w:tab w:val="start" w:pos="595.40pt"/>
        <w:tab w:val="start" w:pos="641.20pt"/>
        <w:tab w:val="start" w:pos="687pt"/>
        <w:tab w:val="start" w:pos="732.80pt"/>
      </w:tabs>
      <w:jc w:val="start"/>
    </w:pPr>
    <w:rPr>
      <w:rFonts w:ascii="Courier New" w:eastAsia="Times New Roman" w:hAnsi="Courier New" w:cs="Courier New"/>
      <w:lang w:val="de-DE" w:eastAsia="de-DE"/>
    </w:rPr>
  </w:style>
  <w:style w:type="character" w:customStyle="1" w:styleId="HTMLVorformatiertZchn">
    <w:name w:val="HTML Vorformatiert Zchn"/>
    <w:basedOn w:val="Absatz-Standardschriftart"/>
    <w:link w:val="HTMLVorformatiert"/>
    <w:uiPriority w:val="99"/>
    <w:rsid w:val="002D1A66"/>
    <w:rPr>
      <w:rFonts w:ascii="Courier New" w:eastAsia="Times New Roman" w:hAnsi="Courier New" w:cs="Courier New"/>
      <w:lang w:val="de-DE" w:eastAsia="de-DE"/>
    </w:rPr>
  </w:style>
  <w:style w:type="table" w:styleId="Tabellenraster">
    <w:name w:val="Table Grid"/>
    <w:basedOn w:val="NormaleTabelle"/>
    <w:rsid w:val="00133D39"/>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se="http://schemas.microsoft.com/office/word/2015/wordml/symex" mc:Ignorable="w14 w15 w16se">
  <w:divs>
    <w:div w:id="47807296">
      <w:bodyDiv w:val="1"/>
      <w:marLeft w:val="0pt"/>
      <w:marRight w:val="0pt"/>
      <w:marTop w:val="0pt"/>
      <w:marBottom w:val="0pt"/>
      <w:divBdr>
        <w:top w:val="none" w:sz="0" w:space="0" w:color="auto"/>
        <w:left w:val="none" w:sz="0" w:space="0" w:color="auto"/>
        <w:bottom w:val="none" w:sz="0" w:space="0" w:color="auto"/>
        <w:right w:val="none" w:sz="0" w:space="0" w:color="auto"/>
      </w:divBdr>
    </w:div>
    <w:div w:id="872767436">
      <w:bodyDiv w:val="1"/>
      <w:marLeft w:val="0pt"/>
      <w:marRight w:val="0pt"/>
      <w:marTop w:val="0pt"/>
      <w:marBottom w:val="0pt"/>
      <w:divBdr>
        <w:top w:val="none" w:sz="0" w:space="0" w:color="auto"/>
        <w:left w:val="none" w:sz="0" w:space="0" w:color="auto"/>
        <w:bottom w:val="none" w:sz="0" w:space="0" w:color="auto"/>
        <w:right w:val="none" w:sz="0" w:space="0" w:color="auto"/>
      </w:divBdr>
    </w:div>
    <w:div w:id="1024676707">
      <w:bodyDiv w:val="1"/>
      <w:marLeft w:val="0pt"/>
      <w:marRight w:val="0pt"/>
      <w:marTop w:val="0pt"/>
      <w:marBottom w:val="0pt"/>
      <w:divBdr>
        <w:top w:val="none" w:sz="0" w:space="0" w:color="auto"/>
        <w:left w:val="none" w:sz="0" w:space="0" w:color="auto"/>
        <w:bottom w:val="none" w:sz="0" w:space="0" w:color="auto"/>
        <w:right w:val="none" w:sz="0" w:space="0" w:color="auto"/>
      </w:divBdr>
    </w:div>
    <w:div w:id="1220094421">
      <w:bodyDiv w:val="1"/>
      <w:marLeft w:val="0pt"/>
      <w:marRight w:val="0pt"/>
      <w:marTop w:val="0pt"/>
      <w:marBottom w:val="0pt"/>
      <w:divBdr>
        <w:top w:val="none" w:sz="0" w:space="0" w:color="auto"/>
        <w:left w:val="none" w:sz="0" w:space="0" w:color="auto"/>
        <w:bottom w:val="none" w:sz="0" w:space="0" w:color="auto"/>
        <w:right w:val="none" w:sz="0" w:space="0" w:color="auto"/>
      </w:divBdr>
    </w:div>
    <w:div w:id="1237666124">
      <w:bodyDiv w:val="1"/>
      <w:marLeft w:val="0pt"/>
      <w:marRight w:val="0pt"/>
      <w:marTop w:val="0pt"/>
      <w:marBottom w:val="0pt"/>
      <w:divBdr>
        <w:top w:val="none" w:sz="0" w:space="0" w:color="auto"/>
        <w:left w:val="none" w:sz="0" w:space="0" w:color="auto"/>
        <w:bottom w:val="none" w:sz="0" w:space="0" w:color="auto"/>
        <w:right w:val="none" w:sz="0" w:space="0" w:color="auto"/>
      </w:divBdr>
    </w:div>
    <w:div w:id="1388608766">
      <w:bodyDiv w:val="1"/>
      <w:marLeft w:val="0pt"/>
      <w:marRight w:val="0pt"/>
      <w:marTop w:val="0pt"/>
      <w:marBottom w:val="0pt"/>
      <w:divBdr>
        <w:top w:val="none" w:sz="0" w:space="0" w:color="auto"/>
        <w:left w:val="none" w:sz="0" w:space="0" w:color="auto"/>
        <w:bottom w:val="none" w:sz="0" w:space="0" w:color="auto"/>
        <w:right w:val="none" w:sz="0" w:space="0" w:color="auto"/>
      </w:divBdr>
    </w:div>
    <w:div w:id="1761177458">
      <w:bodyDiv w:val="1"/>
      <w:marLeft w:val="0pt"/>
      <w:marRight w:val="0pt"/>
      <w:marTop w:val="0pt"/>
      <w:marBottom w:val="0pt"/>
      <w:divBdr>
        <w:top w:val="none" w:sz="0" w:space="0" w:color="auto"/>
        <w:left w:val="none" w:sz="0" w:space="0" w:color="auto"/>
        <w:bottom w:val="none" w:sz="0" w:space="0" w:color="auto"/>
        <w:right w:val="none" w:sz="0" w:space="0" w:color="auto"/>
      </w:divBdr>
    </w:div>
    <w:div w:id="1956910206">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purl.oclc.org/ooxml/officeDocument/relationships/image" Target="media/image1.png"/><Relationship Id="rId13" Type="http://purl.oclc.org/ooxml/officeDocument/relationships/image" Target="media/image4.png"/><Relationship Id="rId3" Type="http://purl.oclc.org/ooxml/officeDocument/relationships/styles" Target="styles.xml"/><Relationship Id="rId7" Type="http://purl.oclc.org/ooxml/officeDocument/relationships/endnotes" Target="endnotes.xml"/><Relationship Id="rId12" Type="http://purl.oclc.org/ooxml/officeDocument/relationships/image" Target="media/image3.wmf"/><Relationship Id="rId17" Type="http://purl.oclc.org/ooxml/officeDocument/relationships/theme" Target="theme/theme1.xml"/><Relationship Id="rId2" Type="http://purl.oclc.org/ooxml/officeDocument/relationships/numbering" Target="numbering.xml"/><Relationship Id="rId16" Type="http://purl.oclc.org/ooxml/officeDocument/relationships/fontTable" Target="fontTable.xml"/><Relationship Id="rId1" Type="http://purl.oclc.org/ooxml/officeDocument/relationships/customXml" Target="../customXml/item1.xml"/><Relationship Id="rId6" Type="http://purl.oclc.org/ooxml/officeDocument/relationships/footnotes" Target="footnotes.xml"/><Relationship Id="rId11" Type="http://purl.oclc.org/ooxml/officeDocument/relationships/oleObject" Target="embeddings/oleObject1.bin"/><Relationship Id="rId5" Type="http://purl.oclc.org/ooxml/officeDocument/relationships/webSettings" Target="webSettings.xml"/><Relationship Id="rId15" Type="http://purl.oclc.org/ooxml/officeDocument/relationships/image" Target="media/image6.jpeg"/><Relationship Id="rId10" Type="http://purl.oclc.org/ooxml/officeDocument/relationships/image" Target="media/image2.wmf"/><Relationship Id="rId4" Type="http://purl.oclc.org/ooxml/officeDocument/relationships/settings" Target="settings.xml"/><Relationship Id="rId9" Type="http://purl.oclc.org/ooxml/officeDocument/relationships/footer" Target="footer1.xml"/><Relationship Id="rId14" Type="http://purl.oclc.org/ooxml/officeDocument/relationships/image" Target="media/image5.png"/></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18E6CD58-0400-4988-9F38-A595FB2ECFDF}">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0</TotalTime>
  <Pages>2</Pages>
  <Words>634</Words>
  <Characters>4000</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Vollrath, Jörg, Prof. Dr.</cp:lastModifiedBy>
  <cp:revision>10</cp:revision>
  <dcterms:created xsi:type="dcterms:W3CDTF">2023-04-04T07:38:00Z</dcterms:created>
  <dcterms:modified xsi:type="dcterms:W3CDTF">2024-05-29T07:54:00Z</dcterms:modified>
</cp:coreProperties>
</file>